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3A33" w14:textId="77777777" w:rsidR="00281447" w:rsidRPr="007812EC" w:rsidRDefault="00281447">
      <w:pPr>
        <w:pBdr>
          <w:top w:val="none" w:sz="0" w:space="4" w:color="auto"/>
        </w:pBdr>
        <w:spacing w:after="0" w:line="275" w:lineRule="atLeast"/>
        <w:jc w:val="both"/>
        <w:rPr>
          <w:rFonts w:ascii="Verdana" w:hAnsi="Verdana"/>
          <w:color w:val="000000" w:themeColor="text1"/>
        </w:rPr>
      </w:pPr>
      <w:bookmarkStart w:id="0" w:name="Icd4cc730319211eca0c0eb43f20c97f0_Targe"/>
      <w:bookmarkStart w:id="1" w:name="co_document_1"/>
      <w:bookmarkEnd w:id="0"/>
    </w:p>
    <w:bookmarkEnd w:id="1"/>
    <w:p w14:paraId="2F00607F" w14:textId="19845BE5" w:rsidR="007812EC" w:rsidRPr="007812EC" w:rsidRDefault="007812EC" w:rsidP="007812EC">
      <w:pPr>
        <w:spacing w:after="0" w:line="240" w:lineRule="auto"/>
        <w:ind w:left="101" w:right="101"/>
        <w:jc w:val="center"/>
        <w:rPr>
          <w:rFonts w:ascii="Verdana" w:hAnsi="Verdana"/>
          <w:color w:val="000000" w:themeColor="text1"/>
        </w:rPr>
      </w:pPr>
      <w:r w:rsidRPr="007812EC">
        <w:rPr>
          <w:rFonts w:ascii="Verdana" w:hAnsi="Verdana"/>
          <w:color w:val="000000" w:themeColor="text1"/>
        </w:rPr>
        <w:t>In Re: Blackbaud, Inc., Customer Data Breach Litigation</w:t>
      </w:r>
    </w:p>
    <w:p w14:paraId="560F734B" w14:textId="5033307B" w:rsidR="00281447" w:rsidRPr="007812EC" w:rsidRDefault="00000000">
      <w:pPr>
        <w:spacing w:after="0" w:line="275" w:lineRule="atLeast"/>
        <w:jc w:val="center"/>
        <w:rPr>
          <w:rFonts w:ascii="Verdana" w:hAnsi="Verdana"/>
          <w:color w:val="000000" w:themeColor="text1"/>
        </w:rPr>
      </w:pPr>
      <w:r w:rsidRPr="007812EC">
        <w:rPr>
          <w:rFonts w:ascii="Verdana" w:hAnsi="Verdana"/>
          <w:color w:val="000000" w:themeColor="text1"/>
        </w:rPr>
        <w:t>567 F.Supp.3d 667</w:t>
      </w:r>
      <w:r w:rsidR="007812EC" w:rsidRPr="007812EC">
        <w:rPr>
          <w:rFonts w:ascii="Verdana" w:hAnsi="Verdana"/>
          <w:color w:val="000000" w:themeColor="text1"/>
        </w:rPr>
        <w:t xml:space="preserve"> (2021)</w:t>
      </w:r>
    </w:p>
    <w:p w14:paraId="29C6EA01" w14:textId="77777777" w:rsidR="00281447" w:rsidRPr="007812EC" w:rsidRDefault="00000000">
      <w:pPr>
        <w:spacing w:after="0" w:line="275" w:lineRule="atLeast"/>
        <w:jc w:val="center"/>
        <w:rPr>
          <w:rFonts w:ascii="Verdana" w:hAnsi="Verdana"/>
          <w:color w:val="000000" w:themeColor="text1"/>
        </w:rPr>
      </w:pPr>
      <w:r w:rsidRPr="007812EC">
        <w:rPr>
          <w:rFonts w:ascii="Verdana" w:hAnsi="Verdana"/>
          <w:color w:val="000000" w:themeColor="text1"/>
        </w:rPr>
        <w:t>United States District Court, D. South Carolina, Columbia Division.</w:t>
      </w:r>
    </w:p>
    <w:p w14:paraId="787CFD1A" w14:textId="34D5499C" w:rsidR="00281447" w:rsidRPr="007812EC" w:rsidRDefault="00000000">
      <w:pPr>
        <w:spacing w:before="800" w:after="0" w:line="275" w:lineRule="atLeast"/>
        <w:jc w:val="center"/>
        <w:rPr>
          <w:rFonts w:ascii="Verdana" w:hAnsi="Verdana"/>
          <w:color w:val="000000" w:themeColor="text1"/>
        </w:rPr>
      </w:pPr>
      <w:bookmarkStart w:id="2" w:name="co_anchor_I99b633112b0c11eda656a81172"/>
      <w:bookmarkStart w:id="3" w:name="co_anchor_I99b633112b0c11eda656a8117255"/>
      <w:bookmarkStart w:id="4" w:name="co_anchor_I999739622b0c11eda656a8117255"/>
      <w:bookmarkStart w:id="5" w:name="co_opinion_1"/>
      <w:r w:rsidRPr="007812EC">
        <w:rPr>
          <w:rFonts w:ascii="Verdana" w:hAnsi="Verdana"/>
          <w:b/>
          <w:color w:val="000000" w:themeColor="text1"/>
          <w:u w:val="single" w:color="000000"/>
        </w:rPr>
        <w:t>ORDER AND OPINION</w:t>
      </w:r>
    </w:p>
    <w:bookmarkEnd w:id="2"/>
    <w:bookmarkEnd w:id="3"/>
    <w:bookmarkEnd w:id="4"/>
    <w:bookmarkEnd w:id="5"/>
    <w:p w14:paraId="6E06B88B" w14:textId="67F389E4" w:rsidR="00281447" w:rsidRPr="007812EC" w:rsidRDefault="00000000">
      <w:pPr>
        <w:spacing w:before="400" w:after="0" w:line="275" w:lineRule="atLeast"/>
        <w:jc w:val="both"/>
        <w:rPr>
          <w:rFonts w:ascii="Verdana" w:hAnsi="Verdana"/>
          <w:color w:val="000000" w:themeColor="text1"/>
        </w:rPr>
      </w:pPr>
      <w:r w:rsidRPr="007812EC">
        <w:rPr>
          <w:rFonts w:ascii="Verdana" w:hAnsi="Verdana"/>
          <w:color w:val="000000" w:themeColor="text1"/>
        </w:rPr>
        <w:t>J. Michelle Childs, United States District Judge</w:t>
      </w:r>
    </w:p>
    <w:p w14:paraId="12E28E21" w14:textId="0576DD8D" w:rsidR="00281447" w:rsidRPr="007812EC" w:rsidRDefault="00000000">
      <w:pPr>
        <w:spacing w:before="200" w:after="0" w:line="275" w:lineRule="atLeast"/>
        <w:jc w:val="both"/>
        <w:rPr>
          <w:rFonts w:ascii="Verdana" w:hAnsi="Verdana"/>
          <w:color w:val="000000" w:themeColor="text1"/>
        </w:rPr>
      </w:pPr>
      <w:r w:rsidRPr="007812EC">
        <w:rPr>
          <w:rFonts w:ascii="Verdana" w:hAnsi="Verdana"/>
          <w:color w:val="000000" w:themeColor="text1"/>
        </w:rPr>
        <w:t xml:space="preserve">This matter is before the court on Defendant Blackbaud, Inc.’s (“Blackbaud”) Motion to Dismiss four (4) of Plaintiffs’ common law claims pursuant to Federal Rule of Civil Procedure 12(b)(6). (ECF No. 124.) For the reasons set forth below, the court </w:t>
      </w:r>
      <w:r w:rsidRPr="007812EC">
        <w:rPr>
          <w:rFonts w:ascii="Verdana" w:hAnsi="Verdana"/>
          <w:b/>
          <w:color w:val="000000" w:themeColor="text1"/>
        </w:rPr>
        <w:t>GRANTS IN PART</w:t>
      </w:r>
      <w:r w:rsidRPr="007812EC">
        <w:rPr>
          <w:rFonts w:ascii="Verdana" w:hAnsi="Verdana"/>
          <w:color w:val="000000" w:themeColor="text1"/>
        </w:rPr>
        <w:t xml:space="preserve"> and </w:t>
      </w:r>
      <w:r w:rsidRPr="007812EC">
        <w:rPr>
          <w:rFonts w:ascii="Verdana" w:hAnsi="Verdana"/>
          <w:b/>
          <w:color w:val="000000" w:themeColor="text1"/>
        </w:rPr>
        <w:t>DENIES IN PART</w:t>
      </w:r>
      <w:r w:rsidRPr="007812EC">
        <w:rPr>
          <w:rFonts w:ascii="Verdana" w:hAnsi="Verdana"/>
          <w:color w:val="000000" w:themeColor="text1"/>
        </w:rPr>
        <w:t xml:space="preserve"> Blackbaud's Motion. (</w:t>
      </w:r>
      <w:r w:rsidRPr="007812EC">
        <w:rPr>
          <w:rFonts w:ascii="Verdana" w:hAnsi="Verdana"/>
          <w:i/>
          <w:color w:val="000000" w:themeColor="text1"/>
        </w:rPr>
        <w:t>Id.</w:t>
      </w:r>
      <w:r w:rsidRPr="007812EC">
        <w:rPr>
          <w:rFonts w:ascii="Verdana" w:hAnsi="Verdana"/>
          <w:color w:val="000000" w:themeColor="text1"/>
        </w:rPr>
        <w:t>)</w:t>
      </w:r>
    </w:p>
    <w:p w14:paraId="1873558B"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1BA568E6" w14:textId="77777777" w:rsidR="00281447" w:rsidRPr="007812EC" w:rsidRDefault="00000000">
      <w:pPr>
        <w:spacing w:before="400" w:after="0" w:line="275" w:lineRule="atLeast"/>
        <w:jc w:val="center"/>
        <w:rPr>
          <w:rFonts w:ascii="Verdana" w:hAnsi="Verdana"/>
          <w:color w:val="000000" w:themeColor="text1"/>
        </w:rPr>
      </w:pPr>
      <w:bookmarkStart w:id="6" w:name="co_anchor_I99b71d712b0c11eda656a8117255"/>
      <w:r w:rsidRPr="007812EC">
        <w:rPr>
          <w:rFonts w:ascii="Verdana" w:hAnsi="Verdana"/>
          <w:b/>
          <w:color w:val="000000" w:themeColor="text1"/>
        </w:rPr>
        <w:t>I. RELEVANT BACKGROUND</w:t>
      </w:r>
    </w:p>
    <w:bookmarkEnd w:id="6"/>
    <w:p w14:paraId="33B60A42" w14:textId="77777777" w:rsidR="00281447" w:rsidRPr="007812EC" w:rsidRDefault="00000000">
      <w:pPr>
        <w:spacing w:before="200" w:after="0" w:line="275" w:lineRule="atLeast"/>
        <w:jc w:val="both"/>
        <w:rPr>
          <w:rFonts w:ascii="Verdana" w:hAnsi="Verdana"/>
          <w:color w:val="000000" w:themeColor="text1"/>
        </w:rPr>
      </w:pPr>
      <w:r w:rsidRPr="007812EC">
        <w:rPr>
          <w:rFonts w:ascii="Verdana" w:hAnsi="Verdana"/>
          <w:color w:val="000000" w:themeColor="text1"/>
        </w:rPr>
        <w:t>Blackbaud is a publicly traded cloud software company incorporated in Delaware and headquartered in Charleston, South Carolina. (ECF No. 77 at 110–11 ¶ 419, 112 ¶ 424.) The company provides data collection and maintenance software solutions for administration, fundraising, marketing, and analytics to social good entities such as non-profit organizations, foundations, educational institutions, faith communities, and healthcare organizations (“Social Good Entities”). (</w:t>
      </w:r>
      <w:r w:rsidRPr="007812EC">
        <w:rPr>
          <w:rFonts w:ascii="Verdana" w:hAnsi="Verdana"/>
          <w:i/>
          <w:color w:val="000000" w:themeColor="text1"/>
        </w:rPr>
        <w:t>Id.</w:t>
      </w:r>
      <w:r w:rsidRPr="007812EC">
        <w:rPr>
          <w:rFonts w:ascii="Verdana" w:hAnsi="Verdana"/>
          <w:color w:val="000000" w:themeColor="text1"/>
        </w:rPr>
        <w:t xml:space="preserve"> at 4 ¶ 4, 114 ¶ 430.) Blackbaud's services include collecting and storing Personally Identifiable Information (“PII”) and Protected Health Information (“PHI”) from its customers’ donors, patients, students, and congregants. (</w:t>
      </w:r>
      <w:r w:rsidRPr="007812EC">
        <w:rPr>
          <w:rFonts w:ascii="Verdana" w:hAnsi="Verdana"/>
          <w:i/>
          <w:color w:val="000000" w:themeColor="text1"/>
        </w:rPr>
        <w:t>Id.</w:t>
      </w:r>
      <w:r w:rsidRPr="007812EC">
        <w:rPr>
          <w:rFonts w:ascii="Verdana" w:hAnsi="Verdana"/>
          <w:color w:val="000000" w:themeColor="text1"/>
        </w:rPr>
        <w:t xml:space="preserve"> at 3 ¶ 2, 114 ¶ 429.)</w:t>
      </w:r>
    </w:p>
    <w:p w14:paraId="69B4637C"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48598043" w14:textId="19A4644C"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In this action, Plaintiffs represent a putative class of individuals whose data was provided to Blackbaud's customers and managed by Blackbaud. (</w:t>
      </w:r>
      <w:r w:rsidRPr="007812EC">
        <w:rPr>
          <w:rFonts w:ascii="Verdana" w:hAnsi="Verdana"/>
          <w:i/>
          <w:color w:val="000000" w:themeColor="text1"/>
        </w:rPr>
        <w:t>Id.</w:t>
      </w:r>
      <w:r w:rsidRPr="007812EC">
        <w:rPr>
          <w:rFonts w:ascii="Verdana" w:hAnsi="Verdana"/>
          <w:color w:val="000000" w:themeColor="text1"/>
        </w:rPr>
        <w:t xml:space="preserve"> at 6 ¶ 12.) Thus, Plaintiffs are patrons of Blackbaud's customers rather than direct customers of Blackbaud. (ECF Nos. 92-1 at 9; 109 at 7–8.) Plaintiffs assert that, from February 7, 2020 to May 20, 2020, cybercriminals orchestrated a two-part ransomware attack on Blackbaud's systems (“Ransomware Attack”). (ECF No. 77 at 11–12 ¶ 25.) Cybercriminals first infiltrated Blackbaud's computer networks, copied Plaintiffs’ data, and held it for ransom. (</w:t>
      </w:r>
      <w:r w:rsidRPr="007812EC">
        <w:rPr>
          <w:rFonts w:ascii="Verdana" w:hAnsi="Verdana"/>
          <w:i/>
          <w:color w:val="000000" w:themeColor="text1"/>
        </w:rPr>
        <w:t>Id.</w:t>
      </w:r>
      <w:r w:rsidRPr="007812EC">
        <w:rPr>
          <w:rFonts w:ascii="Verdana" w:hAnsi="Verdana"/>
          <w:color w:val="000000" w:themeColor="text1"/>
        </w:rPr>
        <w:t xml:space="preserve"> at 11 ¶ 25, 137 ¶ 496; ECF No. 92-1 at 7.) When the Ransomware Attack was discovered in May 2020, the cybercriminals then attempted but failed to block Blackbaud from accessing its own systems. (</w:t>
      </w:r>
      <w:r w:rsidRPr="007812EC">
        <w:rPr>
          <w:rFonts w:ascii="Verdana" w:hAnsi="Verdana"/>
          <w:i/>
          <w:color w:val="000000" w:themeColor="text1"/>
        </w:rPr>
        <w:t>Id.</w:t>
      </w:r>
      <w:r w:rsidRPr="007812EC">
        <w:rPr>
          <w:rFonts w:ascii="Verdana" w:hAnsi="Verdana"/>
          <w:color w:val="000000" w:themeColor="text1"/>
        </w:rPr>
        <w:t>) Blackbaud ultimately paid the ransom in an undisclosed amount of Bitcoin in exchange for a commitment that any data previously accessed by the cybercriminals was permanently destroyed. (ECF Nos. 77 at 9 ¶ 20, 138 ¶ 499; 92-1 at 7.)</w:t>
      </w:r>
    </w:p>
    <w:p w14:paraId="2C9A599E"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86CBC9E"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Plaintiffs maintain that the Ransomware Attack resulted from Blackbaud's “deficient security program[.]” (ECF No. 77 at 117–18 ¶ 439.) They assert that Blackbaud failed to comply with industry and regulatory standards by neglecting to implement security measures to </w:t>
      </w:r>
      <w:r w:rsidRPr="007812EC">
        <w:rPr>
          <w:rFonts w:ascii="Verdana" w:hAnsi="Verdana"/>
          <w:color w:val="000000" w:themeColor="text1"/>
        </w:rPr>
        <w:lastRenderedPageBreak/>
        <w:t>mitigate the risk of unauthorized access, utilizing outdated servers, storing obsolete data, and maintaining unencrypted data fields. (</w:t>
      </w:r>
      <w:r w:rsidRPr="007812EC">
        <w:rPr>
          <w:rFonts w:ascii="Verdana" w:hAnsi="Verdana"/>
          <w:i/>
          <w:color w:val="000000" w:themeColor="text1"/>
        </w:rPr>
        <w:t>Id.</w:t>
      </w:r>
      <w:r w:rsidRPr="007812EC">
        <w:rPr>
          <w:rFonts w:ascii="Verdana" w:hAnsi="Verdana"/>
          <w:color w:val="000000" w:themeColor="text1"/>
        </w:rPr>
        <w:t xml:space="preserve"> at 117–18 ¶ 439, 134 ¶ 486, 136 ¶ 491, 142 ¶ 510.)</w:t>
      </w:r>
    </w:p>
    <w:p w14:paraId="3E8CD868"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C56F3E9"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Plaintiffs further allege that after the Ransomware Attack, Blackbaud launched a narrow internal investigation into the attack that analyzed a limited number of Blackbaud systems and did not address the full scope of the attack. (</w:t>
      </w:r>
      <w:r w:rsidRPr="007812EC">
        <w:rPr>
          <w:rFonts w:ascii="Verdana" w:hAnsi="Verdana"/>
          <w:i/>
          <w:color w:val="000000" w:themeColor="text1"/>
        </w:rPr>
        <w:t>Id.</w:t>
      </w:r>
      <w:r w:rsidRPr="007812EC">
        <w:rPr>
          <w:rFonts w:ascii="Verdana" w:hAnsi="Verdana"/>
          <w:color w:val="000000" w:themeColor="text1"/>
        </w:rPr>
        <w:t xml:space="preserve"> at 143 ¶ 514.) Plaintiffs contend that Blackbaud failed to provide them with timely and adequate notice of the Ransomware Attack and the extent of the resulting data breach. (</w:t>
      </w:r>
      <w:r w:rsidRPr="007812EC">
        <w:rPr>
          <w:rFonts w:ascii="Verdana" w:hAnsi="Verdana"/>
          <w:i/>
          <w:color w:val="000000" w:themeColor="text1"/>
        </w:rPr>
        <w:t>Id.</w:t>
      </w:r>
      <w:r w:rsidRPr="007812EC">
        <w:rPr>
          <w:rFonts w:ascii="Verdana" w:hAnsi="Verdana"/>
          <w:color w:val="000000" w:themeColor="text1"/>
        </w:rPr>
        <w:t xml:space="preserve"> at 130–31 ¶ 473.) They claim that they did not receive notice of the Ransomware Attack “until July of 2020 at the earliest[.]” (</w:t>
      </w:r>
      <w:r w:rsidRPr="007812EC">
        <w:rPr>
          <w:rFonts w:ascii="Verdana" w:hAnsi="Verdana"/>
          <w:i/>
          <w:color w:val="000000" w:themeColor="text1"/>
        </w:rPr>
        <w:t>Id.</w:t>
      </w:r>
      <w:r w:rsidRPr="007812EC">
        <w:rPr>
          <w:rFonts w:ascii="Verdana" w:hAnsi="Verdana"/>
          <w:color w:val="000000" w:themeColor="text1"/>
        </w:rPr>
        <w:t xml:space="preserve"> at 156 ¶ 555.) Plaintiffs allege that they subsequently received notices of the Ransomware Attack from various Blackbaud customers at different points in time from July 2020 to January 2021. (</w:t>
      </w:r>
      <w:r w:rsidRPr="007812EC">
        <w:rPr>
          <w:rFonts w:ascii="Verdana" w:hAnsi="Verdana"/>
          <w:i/>
          <w:color w:val="000000" w:themeColor="text1"/>
        </w:rPr>
        <w:t>See, e.g.</w:t>
      </w:r>
      <w:r w:rsidRPr="007812EC">
        <w:rPr>
          <w:rFonts w:ascii="Verdana" w:hAnsi="Verdana"/>
          <w:color w:val="000000" w:themeColor="text1"/>
        </w:rPr>
        <w:t xml:space="preserve">, </w:t>
      </w:r>
      <w:r w:rsidRPr="007812EC">
        <w:rPr>
          <w:rFonts w:ascii="Verdana" w:hAnsi="Verdana"/>
          <w:i/>
          <w:color w:val="000000" w:themeColor="text1"/>
        </w:rPr>
        <w:t>id.</w:t>
      </w:r>
      <w:r w:rsidRPr="007812EC">
        <w:rPr>
          <w:rFonts w:ascii="Verdana" w:hAnsi="Verdana"/>
          <w:color w:val="000000" w:themeColor="text1"/>
        </w:rPr>
        <w:t xml:space="preserve"> at 25 ¶ 63, 29 ¶ 82, 32 ¶ 93, 109 ¶ 414.) Plaintiffs maintain that although Blackbaud initially represented that sensitive information such as SSNs and bank account numbers were not compromised in the Ransomware Attack, Blackbaud informed certain customers in September and October 2020 that SSNs and other sensitive data were in fact stolen in the breach. (</w:t>
      </w:r>
      <w:r w:rsidRPr="007812EC">
        <w:rPr>
          <w:rFonts w:ascii="Verdana" w:hAnsi="Verdana"/>
          <w:i/>
          <w:color w:val="000000" w:themeColor="text1"/>
        </w:rPr>
        <w:t>Id.</w:t>
      </w:r>
      <w:r w:rsidRPr="007812EC">
        <w:rPr>
          <w:rFonts w:ascii="Verdana" w:hAnsi="Verdana"/>
          <w:color w:val="000000" w:themeColor="text1"/>
        </w:rPr>
        <w:t xml:space="preserve"> at 141–42 ¶ 509.) Additionally, on September 29, 2020, Blackbaud filed a Form 8-K with the Securities and Exchange Commission stating that SSNs, bank account information, usernames, and passwords may have been exfiltrated during the Ransomware Attack. (</w:t>
      </w:r>
      <w:r w:rsidRPr="007812EC">
        <w:rPr>
          <w:rFonts w:ascii="Verdana" w:hAnsi="Verdana"/>
          <w:i/>
          <w:color w:val="000000" w:themeColor="text1"/>
        </w:rPr>
        <w:t>Id.</w:t>
      </w:r>
      <w:r w:rsidRPr="007812EC">
        <w:rPr>
          <w:rFonts w:ascii="Verdana" w:hAnsi="Verdana"/>
          <w:color w:val="000000" w:themeColor="text1"/>
        </w:rPr>
        <w:t xml:space="preserve"> at 12 ¶ 26, 143 ¶ 512.)</w:t>
      </w:r>
    </w:p>
    <w:p w14:paraId="6ED7FB39"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6ECDA1C8" w14:textId="0B0EE134"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After the Ransomware Attack was made public, putative class actions arising out of the intrusion into Blackbaud's systems and subsequent data breach were filed in state and federal courts across the country. (ECF No. 1 at 1.) On December 15, 2020, the Judicial Panel on Multidistrict Litigation consolidated all federal litigation related to the Ransomware Attack into this multidistrict litigation (“MDL”) for coordinated pretrial proceedings.</w:t>
      </w:r>
      <w:bookmarkStart w:id="7" w:name="co_fnRef_B00012054738524_ID0EB6BG_1"/>
      <w:r w:rsidRPr="007812EC">
        <w:rPr>
          <w:rFonts w:ascii="Verdana" w:hAnsi="Verdana"/>
          <w:color w:val="000000" w:themeColor="text1"/>
          <w:vertAlign w:val="superscript"/>
        </w:rPr>
        <w:t>1</w:t>
      </w:r>
      <w:bookmarkEnd w:id="7"/>
      <w:r w:rsidRPr="007812EC">
        <w:rPr>
          <w:rFonts w:ascii="Verdana" w:hAnsi="Verdana"/>
          <w:color w:val="000000" w:themeColor="text1"/>
        </w:rPr>
        <w:t xml:space="preserve"> (</w:t>
      </w:r>
      <w:r w:rsidRPr="007812EC">
        <w:rPr>
          <w:rFonts w:ascii="Verdana" w:hAnsi="Verdana"/>
          <w:i/>
          <w:color w:val="000000" w:themeColor="text1"/>
        </w:rPr>
        <w:t>Id.</w:t>
      </w:r>
      <w:r w:rsidRPr="007812EC">
        <w:rPr>
          <w:rFonts w:ascii="Verdana" w:hAnsi="Verdana"/>
          <w:color w:val="000000" w:themeColor="text1"/>
        </w:rPr>
        <w:t xml:space="preserve"> at 3.)</w:t>
      </w:r>
    </w:p>
    <w:p w14:paraId="61C45B08"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44E538F8" w14:textId="4522B498"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On April 2, 2021, thirty-four (34) named Plaintiffs from twenty (20) states filed a Consolidated Class Action Complaint (“CCAC”) alleging that their PII and/or PHI was compromised during the Ransomware Attack. (ECF No. 77.)</w:t>
      </w:r>
      <w:bookmarkStart w:id="8" w:name="co_fnRef_B00032054738524_ID0EOAAI_1"/>
      <w:r w:rsidRPr="007812EC">
        <w:rPr>
          <w:rFonts w:ascii="Verdana" w:hAnsi="Verdana"/>
          <w:color w:val="000000" w:themeColor="text1"/>
          <w:vertAlign w:val="superscript"/>
        </w:rPr>
        <w:t>3</w:t>
      </w:r>
      <w:bookmarkEnd w:id="8"/>
      <w:r w:rsidRPr="007812EC">
        <w:rPr>
          <w:rFonts w:ascii="Verdana" w:hAnsi="Verdana"/>
          <w:color w:val="000000" w:themeColor="text1"/>
        </w:rPr>
        <w:t xml:space="preserve"> They assert six (6) claims on behalf of a putative nationwide class as well as ninety-one (91) statutory claims on behalf of putative state subclasses. (</w:t>
      </w:r>
      <w:r w:rsidRPr="007812EC">
        <w:rPr>
          <w:rFonts w:ascii="Verdana" w:hAnsi="Verdana"/>
          <w:i/>
          <w:color w:val="000000" w:themeColor="text1"/>
        </w:rPr>
        <w:t>Id.</w:t>
      </w:r>
      <w:r w:rsidRPr="007812EC">
        <w:rPr>
          <w:rFonts w:ascii="Verdana" w:hAnsi="Verdana"/>
          <w:color w:val="000000" w:themeColor="text1"/>
        </w:rPr>
        <w:t xml:space="preserve"> at 173 ¶ 627 – 424 ¶ 1815.)</w:t>
      </w:r>
    </w:p>
    <w:p w14:paraId="28C74DA0"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00F9AA34" w14:textId="544353B8"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To facilitate the efficient resolution of the litigation, the court ordered various phases of motions practice to address jurisdictional issues, certain statutory claims, and specific common law claims. (ECF Nos. 23 at 2; 78 at 1.) This phase addresses the common law claims. Blackbaud filed the instant Motion to Dismiss pursuant to Rule 12(b)(6) on July 9, 2021, contending that Plaintiffs’ negligence, negligence </w:t>
      </w:r>
      <w:r w:rsidRPr="007812EC">
        <w:rPr>
          <w:rFonts w:ascii="Verdana" w:hAnsi="Verdana"/>
          <w:i/>
          <w:color w:val="000000" w:themeColor="text1"/>
        </w:rPr>
        <w:t>per se</w:t>
      </w:r>
      <w:r w:rsidRPr="007812EC">
        <w:rPr>
          <w:rFonts w:ascii="Verdana" w:hAnsi="Verdana"/>
          <w:color w:val="000000" w:themeColor="text1"/>
        </w:rPr>
        <w:t>, gross negligence, and unjust enrichment claims should be dismissed for failure to state a claim. (ECF No. 124.) Plaintiffs filed a Response on August 9, 2021. (ECF No. 142.) The court held a hearing on the Motion to Dismiss on September 2, 2021. (ECF No. 147.)</w:t>
      </w:r>
    </w:p>
    <w:p w14:paraId="05032D6A" w14:textId="795F143D" w:rsidR="00281447"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4F986178" w14:textId="27C2FE07" w:rsidR="009E040E" w:rsidRDefault="009E040E">
      <w:pPr>
        <w:spacing w:after="0" w:line="275" w:lineRule="atLeast"/>
        <w:jc w:val="both"/>
        <w:rPr>
          <w:rFonts w:ascii="Verdana" w:hAnsi="Verdana"/>
          <w:color w:val="000000" w:themeColor="text1"/>
        </w:rPr>
      </w:pPr>
      <w:r>
        <w:rPr>
          <w:rFonts w:ascii="Verdana" w:hAnsi="Verdana"/>
          <w:color w:val="000000" w:themeColor="text1"/>
        </w:rPr>
        <w:t>***</w:t>
      </w:r>
    </w:p>
    <w:p w14:paraId="7E9816C3" w14:textId="77777777" w:rsidR="009E040E" w:rsidRPr="007812EC" w:rsidRDefault="009E040E">
      <w:pPr>
        <w:spacing w:after="0" w:line="275" w:lineRule="atLeast"/>
        <w:jc w:val="both"/>
        <w:rPr>
          <w:rFonts w:ascii="Verdana" w:hAnsi="Verdana"/>
          <w:color w:val="000000" w:themeColor="text1"/>
        </w:rPr>
      </w:pPr>
    </w:p>
    <w:p w14:paraId="2D024A73" w14:textId="77777777" w:rsidR="00281447" w:rsidRPr="007812EC" w:rsidRDefault="00000000">
      <w:pPr>
        <w:spacing w:before="400" w:after="0" w:line="275" w:lineRule="atLeast"/>
        <w:jc w:val="center"/>
        <w:rPr>
          <w:rFonts w:ascii="Verdana" w:hAnsi="Verdana"/>
          <w:color w:val="000000" w:themeColor="text1"/>
        </w:rPr>
      </w:pPr>
      <w:bookmarkStart w:id="9" w:name="co_anchor_I99d294b12b0c11eda656a8117255"/>
      <w:r w:rsidRPr="007812EC">
        <w:rPr>
          <w:rFonts w:ascii="Verdana" w:hAnsi="Verdana"/>
          <w:b/>
          <w:color w:val="000000" w:themeColor="text1"/>
        </w:rPr>
        <w:lastRenderedPageBreak/>
        <w:t>III. ANALYSIS</w:t>
      </w:r>
    </w:p>
    <w:bookmarkEnd w:id="9"/>
    <w:p w14:paraId="4BEEE8A1" w14:textId="12313428" w:rsidR="00281447" w:rsidRPr="007812EC" w:rsidRDefault="00000000">
      <w:pPr>
        <w:spacing w:before="200" w:after="0" w:line="275" w:lineRule="atLeast"/>
        <w:jc w:val="both"/>
        <w:rPr>
          <w:rFonts w:ascii="Verdana" w:hAnsi="Verdana"/>
          <w:color w:val="000000" w:themeColor="text1"/>
        </w:rPr>
      </w:pPr>
      <w:r w:rsidRPr="007812EC">
        <w:rPr>
          <w:rFonts w:ascii="Verdana" w:hAnsi="Verdana"/>
          <w:color w:val="000000" w:themeColor="text1"/>
        </w:rPr>
        <w:t xml:space="preserve">Blackbaud contends that the court should dismiss Plaintiffs’ common law negligence, negligence </w:t>
      </w:r>
      <w:r w:rsidRPr="007812EC">
        <w:rPr>
          <w:rFonts w:ascii="Verdana" w:hAnsi="Verdana"/>
          <w:i/>
          <w:color w:val="000000" w:themeColor="text1"/>
        </w:rPr>
        <w:t>per se</w:t>
      </w:r>
      <w:r w:rsidRPr="007812EC">
        <w:rPr>
          <w:rFonts w:ascii="Verdana" w:hAnsi="Verdana"/>
          <w:color w:val="000000" w:themeColor="text1"/>
        </w:rPr>
        <w:t xml:space="preserve">, gross negligence, and unjust enrichment claims for failure to state a claim. (ECF No. 124 at 17.) The court evaluates Plaintiffs’ allegations in the light most favorable to Plaintiffs as the nonmovants and remains mindful that a motion to dismiss “tests only the sufficiency of those allegations and not the ultimate success of Plaintiffs’ legal theories.”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In re Target Corp. Data Sec. Breach Litig.</w:t>
      </w:r>
      <w:r w:rsidRPr="007812EC">
        <w:rPr>
          <w:rFonts w:ascii="Verdana" w:hAnsi="Verdana"/>
          <w:color w:val="000000" w:themeColor="text1"/>
        </w:rPr>
        <w:t>, 64 F. Supp. 3d 1304, 1310 (D. Minn. 2014). The court will address each of Blackbaud's arguments in turn.</w:t>
      </w:r>
    </w:p>
    <w:p w14:paraId="275F53F0"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0F23E3CD" w14:textId="467AA14D" w:rsidR="00281447" w:rsidRPr="007812EC" w:rsidRDefault="00000000">
      <w:pPr>
        <w:pBdr>
          <w:left w:val="none" w:sz="0" w:space="10" w:color="auto"/>
        </w:pBdr>
        <w:spacing w:before="400" w:after="0" w:line="275" w:lineRule="atLeast"/>
        <w:ind w:left="200"/>
        <w:rPr>
          <w:rFonts w:ascii="Verdana" w:hAnsi="Verdana"/>
          <w:color w:val="000000" w:themeColor="text1"/>
        </w:rPr>
      </w:pPr>
      <w:bookmarkStart w:id="10" w:name="co_anchor_I99d37f112b0c11eda656a81172"/>
      <w:bookmarkStart w:id="11" w:name="co_anchor_I99d37f112b0c11eda656a8117255"/>
      <w:r w:rsidRPr="007812EC">
        <w:rPr>
          <w:rFonts w:ascii="Verdana" w:hAnsi="Verdana"/>
          <w:color w:val="000000" w:themeColor="text1"/>
        </w:rPr>
        <w:t xml:space="preserve">A. </w:t>
      </w:r>
      <w:r w:rsidRPr="007812EC">
        <w:rPr>
          <w:rFonts w:ascii="Verdana" w:hAnsi="Verdana"/>
          <w:color w:val="000000" w:themeColor="text1"/>
          <w:u w:val="single" w:color="000000"/>
        </w:rPr>
        <w:t>Negligence - Duty</w:t>
      </w:r>
    </w:p>
    <w:bookmarkEnd w:id="10"/>
    <w:bookmarkEnd w:id="11"/>
    <w:p w14:paraId="6EE6D921" w14:textId="75D452E9"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Plaintiffs assert negligence claims against Blackbaud on behalf of Plaintiffs and the Nationwide Class, or alternatively, on behalf of Plaintiffs and the subclasses. (ECF No. 77 at 173.) Blackbaud contends Plaintiffs’ claims fail because they cannot establish Blackbaud owed Plaintiffs a duty of care. (ECF No. 124-1 at 17.) Initially, Blackbaud contends that “[n]o state court in the relevant states has ever held that a software provider like Blackbaud owes a common law duty of care to third parties like Plaintiffs, with whom Blackbaud had no relationship.” (</w:t>
      </w:r>
      <w:r w:rsidRPr="007812EC">
        <w:rPr>
          <w:rFonts w:ascii="Verdana" w:hAnsi="Verdana"/>
          <w:i/>
          <w:color w:val="000000" w:themeColor="text1"/>
        </w:rPr>
        <w:t>Id.</w:t>
      </w:r>
      <w:r w:rsidRPr="007812EC">
        <w:rPr>
          <w:rFonts w:ascii="Verdana" w:hAnsi="Verdana"/>
          <w:color w:val="000000" w:themeColor="text1"/>
        </w:rPr>
        <w:t xml:space="preserve"> at 17.) Blackbaud asserts that Plaintiffs’ negligence claims fail as a matter of law because Plaintiffs have not shown Blackbaud owes a duty of care to “strangers” in the absence of “extraordinary and specific facts.” (</w:t>
      </w:r>
      <w:r w:rsidRPr="007812EC">
        <w:rPr>
          <w:rFonts w:ascii="Verdana" w:hAnsi="Verdana"/>
          <w:i/>
          <w:color w:val="000000" w:themeColor="text1"/>
        </w:rPr>
        <w:t>Id.</w:t>
      </w:r>
      <w:r w:rsidRPr="007812EC">
        <w:rPr>
          <w:rFonts w:ascii="Verdana" w:hAnsi="Verdana"/>
          <w:color w:val="000000" w:themeColor="text1"/>
        </w:rPr>
        <w:t xml:space="preserve"> at 24) (citing </w:t>
      </w:r>
      <w:r w:rsidRPr="007812EC">
        <w:rPr>
          <w:rFonts w:ascii="Verdana" w:hAnsi="Verdana"/>
          <w:i/>
          <w:color w:val="000000" w:themeColor="text1"/>
        </w:rPr>
        <w:t>QDOS, Inc., v. Signature Financial, LLC</w:t>
      </w:r>
      <w:r w:rsidRPr="007812EC">
        <w:rPr>
          <w:rFonts w:ascii="Verdana" w:hAnsi="Verdana"/>
          <w:color w:val="000000" w:themeColor="text1"/>
        </w:rPr>
        <w:t>, 17 Cal. App. 5th 990, 1000 n.3, 225 Cal.Rptr.3d 869 (Cal Ct. App. 2017).) As such, Blackbaud explains, Plaintiffs must show a special relationship between the parties “such that social policy justifies the imposition of a duty to act.” (</w:t>
      </w:r>
      <w:r w:rsidRPr="007812EC">
        <w:rPr>
          <w:rFonts w:ascii="Verdana" w:hAnsi="Verdana"/>
          <w:i/>
          <w:color w:val="000000" w:themeColor="text1"/>
        </w:rPr>
        <w:t>Id.</w:t>
      </w:r>
      <w:r w:rsidRPr="007812EC">
        <w:rPr>
          <w:rFonts w:ascii="Verdana" w:hAnsi="Verdana"/>
          <w:color w:val="000000" w:themeColor="text1"/>
        </w:rPr>
        <w:t xml:space="preserve"> at 25–26 (citing </w:t>
      </w:r>
      <w:r w:rsidRPr="007812EC">
        <w:rPr>
          <w:rFonts w:ascii="Verdana" w:hAnsi="Verdana"/>
          <w:i/>
          <w:color w:val="000000" w:themeColor="text1"/>
        </w:rPr>
        <w:t>Smit v. Anderson</w:t>
      </w:r>
      <w:r w:rsidRPr="007812EC">
        <w:rPr>
          <w:rFonts w:ascii="Verdana" w:hAnsi="Verdana"/>
          <w:color w:val="000000" w:themeColor="text1"/>
        </w:rPr>
        <w:t>, 72 P.3d 369, 372 (Colo. App. 2002)).) Blackbaud also argues that “there exists no general duty to prevent the criminal acts of third parties.” (</w:t>
      </w:r>
      <w:r w:rsidRPr="007812EC">
        <w:rPr>
          <w:rFonts w:ascii="Verdana" w:hAnsi="Verdana"/>
          <w:i/>
          <w:color w:val="000000" w:themeColor="text1"/>
        </w:rPr>
        <w:t>Id.</w:t>
      </w:r>
      <w:r w:rsidRPr="007812EC">
        <w:rPr>
          <w:rFonts w:ascii="Verdana" w:hAnsi="Verdana"/>
          <w:color w:val="000000" w:themeColor="text1"/>
        </w:rPr>
        <w:t>)</w:t>
      </w:r>
    </w:p>
    <w:p w14:paraId="2924C6E5"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02EEF512" w14:textId="2CC91154" w:rsidR="00281447" w:rsidRPr="007812EC" w:rsidRDefault="00000000">
      <w:pPr>
        <w:spacing w:after="0" w:line="275" w:lineRule="atLeast"/>
        <w:jc w:val="both"/>
        <w:rPr>
          <w:rFonts w:ascii="Verdana" w:hAnsi="Verdana"/>
          <w:color w:val="000000" w:themeColor="text1"/>
        </w:rPr>
      </w:pPr>
      <w:bookmarkStart w:id="12" w:name="co_anchor_B92054738524_1"/>
      <w:bookmarkStart w:id="13" w:name="co_anchor_B102054738524_1"/>
      <w:bookmarkStart w:id="14" w:name="co_anchor_B112054738524_1"/>
      <w:bookmarkEnd w:id="12"/>
      <w:bookmarkEnd w:id="13"/>
      <w:bookmarkEnd w:id="14"/>
      <w:r w:rsidRPr="007812EC">
        <w:rPr>
          <w:rFonts w:ascii="Verdana" w:hAnsi="Verdana"/>
          <w:color w:val="000000" w:themeColor="text1"/>
        </w:rPr>
        <w:t xml:space="preserve">To state a cause of action for negligence under South Carolina law, a plaintiff must show: “(1) a duty of care owed by the defendant; (2) a breach of that duty by a negligent act or omission; (3) a negligent act or omission resulted in damages to the plaintiff; and (4) that damages proximately resulted from the breach of duty.” </w:t>
      </w:r>
      <w:r w:rsidRPr="007812EC">
        <w:rPr>
          <w:rFonts w:ascii="Verdana" w:hAnsi="Verdana"/>
          <w:i/>
          <w:color w:val="000000" w:themeColor="text1"/>
        </w:rPr>
        <w:t xml:space="preserve">Savannah Bank, N.A. v. </w:t>
      </w:r>
      <w:proofErr w:type="spellStart"/>
      <w:r w:rsidRPr="007812EC">
        <w:rPr>
          <w:rFonts w:ascii="Verdana" w:hAnsi="Verdana"/>
          <w:i/>
          <w:color w:val="000000" w:themeColor="text1"/>
        </w:rPr>
        <w:t>Stalliard</w:t>
      </w:r>
      <w:proofErr w:type="spellEnd"/>
      <w:r w:rsidRPr="007812EC">
        <w:rPr>
          <w:rFonts w:ascii="Verdana" w:hAnsi="Verdana"/>
          <w:color w:val="000000" w:themeColor="text1"/>
        </w:rPr>
        <w:t xml:space="preserve">, 734 S.E.2d at 163–64 (citing </w:t>
      </w:r>
      <w:proofErr w:type="spellStart"/>
      <w:r w:rsidRPr="007812EC">
        <w:rPr>
          <w:rFonts w:ascii="Verdana" w:hAnsi="Verdana"/>
          <w:i/>
          <w:color w:val="000000" w:themeColor="text1"/>
        </w:rPr>
        <w:t>Thomasko</w:t>
      </w:r>
      <w:proofErr w:type="spellEnd"/>
      <w:r w:rsidRPr="007812EC">
        <w:rPr>
          <w:rFonts w:ascii="Verdana" w:hAnsi="Verdana"/>
          <w:i/>
          <w:color w:val="000000" w:themeColor="text1"/>
        </w:rPr>
        <w:t xml:space="preserve"> v. Poole</w:t>
      </w:r>
      <w:r w:rsidRPr="007812EC">
        <w:rPr>
          <w:rFonts w:ascii="Verdana" w:hAnsi="Verdana"/>
          <w:color w:val="000000" w:themeColor="text1"/>
        </w:rPr>
        <w:t xml:space="preserve">, 561 S.E.2d at 599; </w:t>
      </w:r>
      <w:proofErr w:type="spellStart"/>
      <w:r w:rsidRPr="007812EC">
        <w:rPr>
          <w:rFonts w:ascii="Verdana" w:hAnsi="Verdana"/>
          <w:i/>
          <w:color w:val="000000" w:themeColor="text1"/>
        </w:rPr>
        <w:t>Kleckley</w:t>
      </w:r>
      <w:proofErr w:type="spellEnd"/>
      <w:r w:rsidRPr="007812EC">
        <w:rPr>
          <w:rFonts w:ascii="Verdana" w:hAnsi="Verdana"/>
          <w:color w:val="000000" w:themeColor="text1"/>
        </w:rPr>
        <w:t xml:space="preserve">, 526 S.E.2d at 221). The existence of a legal duty of care owed by the defendant to the plaintiff is an essential element in a cause of action for negligence. </w:t>
      </w:r>
      <w:r w:rsidRPr="007812EC">
        <w:rPr>
          <w:rFonts w:ascii="Verdana" w:hAnsi="Verdana"/>
          <w:i/>
          <w:color w:val="000000" w:themeColor="text1"/>
        </w:rPr>
        <w:t>Huggins v. Citibank, N.A.</w:t>
      </w:r>
      <w:r w:rsidRPr="007812EC">
        <w:rPr>
          <w:rFonts w:ascii="Verdana" w:hAnsi="Verdana"/>
          <w:color w:val="000000" w:themeColor="text1"/>
        </w:rPr>
        <w:t xml:space="preserve">, 355 S.C. 329, 585 S.E.2d 275, 276 (2003). The existence of a duty owed is a question of law for the courts. </w:t>
      </w:r>
      <w:r w:rsidRPr="007812EC">
        <w:rPr>
          <w:rFonts w:ascii="Verdana" w:hAnsi="Verdana"/>
          <w:i/>
          <w:color w:val="000000" w:themeColor="text1"/>
        </w:rPr>
        <w:t xml:space="preserve">Doe v. Greenville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Sch. Dist.</w:t>
      </w:r>
      <w:r w:rsidRPr="007812EC">
        <w:rPr>
          <w:rFonts w:ascii="Verdana" w:hAnsi="Verdana"/>
          <w:color w:val="000000" w:themeColor="text1"/>
        </w:rPr>
        <w:t xml:space="preserve">, 375 S.C. 63, 651 S.E.2d 305, 309 (2007) (citing </w:t>
      </w:r>
      <w:r w:rsidRPr="007812EC">
        <w:rPr>
          <w:rFonts w:ascii="Verdana" w:hAnsi="Verdana"/>
          <w:i/>
          <w:color w:val="000000" w:themeColor="text1"/>
        </w:rPr>
        <w:t>Doe v. Batson</w:t>
      </w:r>
      <w:r w:rsidRPr="007812EC">
        <w:rPr>
          <w:rFonts w:ascii="Verdana" w:hAnsi="Verdana"/>
          <w:color w:val="000000" w:themeColor="text1"/>
        </w:rPr>
        <w:t>, 345 S.C. 316, 548 S.E.2d 854, 857 (2001)).</w:t>
      </w:r>
    </w:p>
    <w:p w14:paraId="243C57A8"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9FB90A4" w14:textId="60E4785A" w:rsidR="00281447" w:rsidRPr="007812EC" w:rsidRDefault="00000000">
      <w:pPr>
        <w:spacing w:after="0" w:line="275" w:lineRule="atLeast"/>
        <w:jc w:val="both"/>
        <w:rPr>
          <w:rFonts w:ascii="Verdana" w:hAnsi="Verdana"/>
          <w:color w:val="000000" w:themeColor="text1"/>
        </w:rPr>
      </w:pPr>
      <w:bookmarkStart w:id="15" w:name="co_anchor_B122054738524_1"/>
      <w:bookmarkStart w:id="16" w:name="co_anchor_B132054738524_1"/>
      <w:bookmarkStart w:id="17" w:name="co_anchor_B142054738524_1"/>
      <w:bookmarkEnd w:id="15"/>
      <w:bookmarkEnd w:id="16"/>
      <w:bookmarkEnd w:id="17"/>
      <w:r w:rsidRPr="007812EC">
        <w:rPr>
          <w:rFonts w:ascii="Verdana" w:hAnsi="Verdana"/>
          <w:color w:val="000000" w:themeColor="text1"/>
        </w:rPr>
        <w:t xml:space="preserve">“An affirmative legal duty exists only if created by statute, contract, relationship, status, property interest, or some other special circumstance.” </w:t>
      </w:r>
      <w:r w:rsidRPr="007812EC">
        <w:rPr>
          <w:rFonts w:ascii="Verdana" w:hAnsi="Verdana"/>
          <w:i/>
          <w:color w:val="000000" w:themeColor="text1"/>
        </w:rPr>
        <w:t>Hendricks v. Clemson Univ.</w:t>
      </w:r>
      <w:r w:rsidRPr="007812EC">
        <w:rPr>
          <w:rFonts w:ascii="Verdana" w:hAnsi="Verdana"/>
          <w:color w:val="000000" w:themeColor="text1"/>
        </w:rPr>
        <w:t xml:space="preserve">, 353 S.C. 449, 578 S.E.2d 711, 714 (2003). “It is the relationship between the parties, not the potential ‘foreseeability of injury,’ that determines whether the law will recognize a duty in a given context.” </w:t>
      </w:r>
      <w:r w:rsidRPr="007812EC">
        <w:rPr>
          <w:rFonts w:ascii="Verdana" w:hAnsi="Verdana"/>
          <w:i/>
          <w:color w:val="000000" w:themeColor="text1"/>
        </w:rPr>
        <w:t>Williams v. Preiss-Wal Pat III, LLC</w:t>
      </w:r>
      <w:r w:rsidRPr="007812EC">
        <w:rPr>
          <w:rFonts w:ascii="Verdana" w:hAnsi="Verdana"/>
          <w:color w:val="000000" w:themeColor="text1"/>
        </w:rPr>
        <w:t xml:space="preserve">, 17 F. Supp. 3d 528, 535 (D.S.C. 2014) (citing </w:t>
      </w:r>
      <w:r w:rsidRPr="007812EC">
        <w:rPr>
          <w:rFonts w:ascii="Verdana" w:hAnsi="Verdana"/>
          <w:i/>
          <w:color w:val="000000" w:themeColor="text1"/>
        </w:rPr>
        <w:t>Charleston Dry Cleaners &amp; Laundry, Inc. v. Zurich American Ins. Co.</w:t>
      </w:r>
      <w:r w:rsidRPr="007812EC">
        <w:rPr>
          <w:rFonts w:ascii="Verdana" w:hAnsi="Verdana"/>
          <w:color w:val="000000" w:themeColor="text1"/>
        </w:rPr>
        <w:t xml:space="preserve">, 355 S.C. 614, 586 S.E.2d 586, 588 (2003)). Where an act is voluntarily undertaken, however, the actor </w:t>
      </w:r>
      <w:r w:rsidRPr="007812EC">
        <w:rPr>
          <w:rFonts w:ascii="Verdana" w:hAnsi="Verdana"/>
          <w:color w:val="000000" w:themeColor="text1"/>
        </w:rPr>
        <w:lastRenderedPageBreak/>
        <w:t xml:space="preserve">assumes the duty to use due care. </w:t>
      </w:r>
      <w:r w:rsidRPr="007812EC">
        <w:rPr>
          <w:rFonts w:ascii="Verdana" w:hAnsi="Verdana"/>
          <w:i/>
          <w:color w:val="000000" w:themeColor="text1"/>
        </w:rPr>
        <w:t>Vaughan v. Town of Lyman</w:t>
      </w:r>
      <w:r w:rsidRPr="007812EC">
        <w:rPr>
          <w:rFonts w:ascii="Verdana" w:hAnsi="Verdana"/>
          <w:color w:val="000000" w:themeColor="text1"/>
        </w:rPr>
        <w:t xml:space="preserve">, 370 S.C. 436, 635 S.E.2d 631 (2006); </w:t>
      </w:r>
      <w:r w:rsidRPr="007812EC">
        <w:rPr>
          <w:rFonts w:ascii="Verdana" w:hAnsi="Verdana"/>
          <w:i/>
          <w:color w:val="000000" w:themeColor="text1"/>
        </w:rPr>
        <w:t>Hendricks v. Clemson Univ.</w:t>
      </w:r>
      <w:r w:rsidRPr="007812EC">
        <w:rPr>
          <w:rFonts w:ascii="Verdana" w:hAnsi="Verdana"/>
          <w:color w:val="000000" w:themeColor="text1"/>
        </w:rPr>
        <w:t xml:space="preserve">, 578 S.E.2d at 714 (citing </w:t>
      </w:r>
      <w:r w:rsidRPr="007812EC">
        <w:rPr>
          <w:rFonts w:ascii="Verdana" w:hAnsi="Verdana"/>
          <w:i/>
          <w:color w:val="000000" w:themeColor="text1"/>
        </w:rPr>
        <w:t>Miller v. City of Camden</w:t>
      </w:r>
      <w:r w:rsidRPr="007812EC">
        <w:rPr>
          <w:rFonts w:ascii="Verdana" w:hAnsi="Verdana"/>
          <w:color w:val="000000" w:themeColor="text1"/>
        </w:rPr>
        <w:t xml:space="preserve">, 329 S.C. 310, 494 S.E.2d 813 (1997)); </w:t>
      </w:r>
      <w:r w:rsidRPr="007812EC">
        <w:rPr>
          <w:rFonts w:ascii="Verdana" w:hAnsi="Verdana"/>
          <w:i/>
          <w:color w:val="000000" w:themeColor="text1"/>
        </w:rPr>
        <w:t>see also</w:t>
      </w:r>
      <w:r w:rsidRPr="007812EC">
        <w:rPr>
          <w:rFonts w:ascii="Verdana" w:hAnsi="Verdana"/>
          <w:color w:val="000000" w:themeColor="text1"/>
        </w:rPr>
        <w:t xml:space="preserve"> </w:t>
      </w:r>
      <w:r w:rsidRPr="007812EC">
        <w:rPr>
          <w:rFonts w:ascii="Verdana" w:hAnsi="Verdana"/>
          <w:i/>
          <w:color w:val="000000" w:themeColor="text1"/>
        </w:rPr>
        <w:t>Madison ex rel. Bryant v. Babcock Center, Inc.</w:t>
      </w:r>
      <w:r w:rsidRPr="007812EC">
        <w:rPr>
          <w:rFonts w:ascii="Verdana" w:hAnsi="Verdana"/>
          <w:color w:val="000000" w:themeColor="text1"/>
        </w:rPr>
        <w:t>, 371 S.C. 123, 638 S.E.2d 650, 657 (2006) (one who assumes to act, even though under no obligation to do so, thereby becomes obligated to act with due care).</w:t>
      </w:r>
    </w:p>
    <w:p w14:paraId="02E8AE6F"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3789D69" w14:textId="001DB661"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In </w:t>
      </w:r>
      <w:r w:rsidRPr="007812EC">
        <w:rPr>
          <w:rFonts w:ascii="Verdana" w:hAnsi="Verdana"/>
          <w:i/>
          <w:color w:val="000000" w:themeColor="text1"/>
        </w:rPr>
        <w:t xml:space="preserve">Shaw v. </w:t>
      </w:r>
      <w:proofErr w:type="spellStart"/>
      <w:r w:rsidRPr="007812EC">
        <w:rPr>
          <w:rFonts w:ascii="Verdana" w:hAnsi="Verdana"/>
          <w:i/>
          <w:color w:val="000000" w:themeColor="text1"/>
        </w:rPr>
        <w:t>Psychemedics</w:t>
      </w:r>
      <w:proofErr w:type="spellEnd"/>
      <w:r w:rsidRPr="007812EC">
        <w:rPr>
          <w:rFonts w:ascii="Verdana" w:hAnsi="Verdana"/>
          <w:i/>
          <w:color w:val="000000" w:themeColor="text1"/>
        </w:rPr>
        <w:t xml:space="preserve"> Corp.</w:t>
      </w:r>
      <w:r w:rsidRPr="007812EC">
        <w:rPr>
          <w:rFonts w:ascii="Verdana" w:hAnsi="Verdana"/>
          <w:color w:val="000000" w:themeColor="text1"/>
        </w:rPr>
        <w:t xml:space="preserve">, the South Carolina Supreme Court held that the contractual relationship between an employer and a drug testing laboratory created a special circumstance to support the imposition of a duty of care owed by the laboratory to employees who are subject to testing. 426 S.C. 194, 826 S.E.2d 281, 283–84 (2019). In making this finding, the court explained that “[t]he principal purpose of the contract between the laboratory and the employer is to test a given employee's biological specimen for the presence of drugs.” </w:t>
      </w:r>
      <w:r w:rsidRPr="007812EC">
        <w:rPr>
          <w:rFonts w:ascii="Verdana" w:hAnsi="Verdana"/>
          <w:i/>
          <w:color w:val="000000" w:themeColor="text1"/>
        </w:rPr>
        <w:t>Id.</w:t>
      </w:r>
      <w:r w:rsidRPr="007812EC">
        <w:rPr>
          <w:rFonts w:ascii="Verdana" w:hAnsi="Verdana"/>
          <w:color w:val="000000" w:themeColor="text1"/>
        </w:rPr>
        <w:t xml:space="preserve"> at 283. At some point during the testing process, if not for the entire duration, the laboratory “possesses and exercises control over the specimen.” </w:t>
      </w:r>
      <w:r w:rsidRPr="007812EC">
        <w:rPr>
          <w:rFonts w:ascii="Verdana" w:hAnsi="Verdana"/>
          <w:i/>
          <w:color w:val="000000" w:themeColor="text1"/>
        </w:rPr>
        <w:t>Id.</w:t>
      </w:r>
      <w:r w:rsidRPr="007812EC">
        <w:rPr>
          <w:rFonts w:ascii="Verdana" w:hAnsi="Verdana"/>
          <w:color w:val="000000" w:themeColor="text1"/>
        </w:rPr>
        <w:t xml:space="preserve"> Further, the court explained that “if the laboratory is negligent in testing the employee's specimen, it is foreseeable that the employee will likely suffer a direct economic injury.” </w:t>
      </w:r>
      <w:r w:rsidRPr="007812EC">
        <w:rPr>
          <w:rFonts w:ascii="Verdana" w:hAnsi="Verdana"/>
          <w:i/>
          <w:color w:val="000000" w:themeColor="text1"/>
        </w:rPr>
        <w:t>Id.</w:t>
      </w:r>
      <w:r w:rsidRPr="007812EC">
        <w:rPr>
          <w:rFonts w:ascii="Verdana" w:hAnsi="Verdana"/>
          <w:color w:val="000000" w:themeColor="text1"/>
        </w:rPr>
        <w:t xml:space="preserve"> at 283–84. Without the recognition of a duty, the injured employee would be left without redress. </w:t>
      </w:r>
      <w:r w:rsidRPr="007812EC">
        <w:rPr>
          <w:rFonts w:ascii="Verdana" w:hAnsi="Verdana"/>
          <w:i/>
          <w:color w:val="000000" w:themeColor="text1"/>
        </w:rPr>
        <w:t>Id.</w:t>
      </w:r>
      <w:r w:rsidRPr="007812EC">
        <w:rPr>
          <w:rFonts w:ascii="Verdana" w:hAnsi="Verdana"/>
          <w:color w:val="000000" w:themeColor="text1"/>
        </w:rPr>
        <w:t xml:space="preserve"> Finally, the court noted that the recognition of a duty in this context “advances a major policy goal of tort law: deterrence.” </w:t>
      </w:r>
      <w:r w:rsidRPr="007812EC">
        <w:rPr>
          <w:rFonts w:ascii="Verdana" w:hAnsi="Verdana"/>
          <w:i/>
          <w:color w:val="000000" w:themeColor="text1"/>
        </w:rPr>
        <w:t>Id.</w:t>
      </w:r>
      <w:r w:rsidRPr="007812EC">
        <w:rPr>
          <w:rFonts w:ascii="Verdana" w:hAnsi="Verdana"/>
          <w:color w:val="000000" w:themeColor="text1"/>
        </w:rPr>
        <w:t xml:space="preserve"> at 284.</w:t>
      </w:r>
    </w:p>
    <w:p w14:paraId="353B8AC2"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4846F524" w14:textId="56FF0E9C" w:rsidR="00281447" w:rsidRPr="007812EC" w:rsidRDefault="00000000">
      <w:pPr>
        <w:spacing w:after="0" w:line="275" w:lineRule="atLeast"/>
        <w:jc w:val="both"/>
        <w:rPr>
          <w:rFonts w:ascii="Verdana" w:hAnsi="Verdana"/>
          <w:color w:val="000000" w:themeColor="text1"/>
        </w:rPr>
      </w:pPr>
      <w:bookmarkStart w:id="18" w:name="co_anchor_B152054738524_1"/>
      <w:bookmarkEnd w:id="18"/>
      <w:r w:rsidRPr="007812EC">
        <w:rPr>
          <w:rFonts w:ascii="Verdana" w:hAnsi="Verdana"/>
          <w:color w:val="000000" w:themeColor="text1"/>
        </w:rPr>
        <w:t xml:space="preserve">Blackbaud contends that its contracts are much broader than cyber security, (ECF No. 147 at 35:17–18), and as such, </w:t>
      </w:r>
      <w:r w:rsidRPr="007812EC">
        <w:rPr>
          <w:rFonts w:ascii="Verdana" w:hAnsi="Verdana"/>
          <w:i/>
          <w:color w:val="000000" w:themeColor="text1"/>
        </w:rPr>
        <w:t>Shaw</w:t>
      </w:r>
      <w:r w:rsidRPr="007812EC">
        <w:rPr>
          <w:rFonts w:ascii="Verdana" w:hAnsi="Verdana"/>
          <w:color w:val="000000" w:themeColor="text1"/>
        </w:rPr>
        <w:t xml:space="preserve"> is inapplicable. The court disagrees. Plaintiffs allege the primary purpose of Blackbaud's contracts with the Social Good Entities is to provide “computing software, services, and cybersecurity[.]” (ECF No. 77 at 110 ¶ 419.) Blackbaud's customers use its services to collect and protect information of third parties, including Plaintiffs. Therefore, like the contract between the laboratory and the employer in </w:t>
      </w:r>
      <w:r w:rsidRPr="007812EC">
        <w:rPr>
          <w:rFonts w:ascii="Verdana" w:hAnsi="Verdana"/>
          <w:i/>
          <w:color w:val="000000" w:themeColor="text1"/>
        </w:rPr>
        <w:t>Shaw</w:t>
      </w:r>
      <w:r w:rsidRPr="007812EC">
        <w:rPr>
          <w:rFonts w:ascii="Verdana" w:hAnsi="Verdana"/>
          <w:color w:val="000000" w:themeColor="text1"/>
        </w:rPr>
        <w:t>, Blackbaud's contracts with the Social Good Entities support recognition of a duty to Plaintiffs because the purpose of the contracts was to maintain and secure Plaintiffs’ Private Information.</w:t>
      </w:r>
    </w:p>
    <w:p w14:paraId="6537368D"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12349C36" w14:textId="1BF661A0"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Blackbaud also contends that, unlike the laboratory in </w:t>
      </w:r>
      <w:r w:rsidRPr="007812EC">
        <w:rPr>
          <w:rFonts w:ascii="Verdana" w:hAnsi="Verdana"/>
          <w:i/>
          <w:color w:val="000000" w:themeColor="text1"/>
        </w:rPr>
        <w:t>Shaw</w:t>
      </w:r>
      <w:r w:rsidRPr="007812EC">
        <w:rPr>
          <w:rFonts w:ascii="Verdana" w:hAnsi="Verdana"/>
          <w:color w:val="000000" w:themeColor="text1"/>
        </w:rPr>
        <w:t xml:space="preserve">, the Social Good Entities control the data. (ECF No. 147 at 35: 17–18.) Blackbaud styles itself a “software-as-a-service provider,” meaning that it provides a “software shell that its customers can take and use” in other applications with tools for various purposes such as tracking donations or college admissions. (ECF No. 147 at 22:18–25.) Even if the customizable nature of Blackbaud's services gives its customers primary control of the data, however, Blackbaud still has the greatest amount of control over the security of the data that is stored.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Shaw</w:t>
      </w:r>
      <w:r w:rsidRPr="007812EC">
        <w:rPr>
          <w:rFonts w:ascii="Verdana" w:hAnsi="Verdana"/>
          <w:color w:val="000000" w:themeColor="text1"/>
        </w:rPr>
        <w:t xml:space="preserve">, 826 S.E.2d at 283 (explaining that “[d]rug testing laboratories have the greatest amount of control over the accuracy of the testing process”) (citing </w:t>
      </w:r>
      <w:r w:rsidRPr="007812EC">
        <w:rPr>
          <w:rFonts w:ascii="Verdana" w:hAnsi="Verdana"/>
          <w:i/>
          <w:color w:val="000000" w:themeColor="text1"/>
        </w:rPr>
        <w:t>Landon v. Kroll Lab. Specialists, Inc.</w:t>
      </w:r>
      <w:r w:rsidRPr="007812EC">
        <w:rPr>
          <w:rFonts w:ascii="Verdana" w:hAnsi="Verdana"/>
          <w:color w:val="000000" w:themeColor="text1"/>
        </w:rPr>
        <w:t>, 22 N.Y.3d 1, 977 N.Y.S.2d 676, 999 N.E.2d 1121, 1124 (2013) (finding drug testing laboratory is in the best position to prevent harm)). Thus, Blackbaud remains in the best position to prevent harm associated with a data breach to its systems. Accordingly, the court finds Plaintiffs have alleged facts showing a special circumstance sufficient to impose a common law duty arising from Blackbaud's contracts with the Social Good Entities.</w:t>
      </w:r>
    </w:p>
    <w:p w14:paraId="0759870E"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109EE9D9" w14:textId="22439BD4" w:rsidR="00281447" w:rsidRPr="007812EC" w:rsidRDefault="00000000">
      <w:pPr>
        <w:spacing w:after="0" w:line="275" w:lineRule="atLeast"/>
        <w:jc w:val="both"/>
        <w:rPr>
          <w:rFonts w:ascii="Verdana" w:hAnsi="Verdana"/>
          <w:color w:val="000000" w:themeColor="text1"/>
        </w:rPr>
      </w:pPr>
      <w:bookmarkStart w:id="19" w:name="co_anchor_B162054738524_1"/>
      <w:bookmarkStart w:id="20" w:name="co_anchor_B172054738524_1"/>
      <w:bookmarkEnd w:id="19"/>
      <w:bookmarkEnd w:id="20"/>
      <w:r w:rsidRPr="007812EC">
        <w:rPr>
          <w:rFonts w:ascii="Verdana" w:hAnsi="Verdana"/>
          <w:color w:val="000000" w:themeColor="text1"/>
        </w:rPr>
        <w:lastRenderedPageBreak/>
        <w:t xml:space="preserve">Next, Blackbaud contends that Plaintiffs’ negligence claims fail because it had “no duty to protect Plaintiffs against the unlawful conduct of a third-party criminal.” (ECF No. 124-1 at 26 (citing </w:t>
      </w:r>
      <w:r w:rsidRPr="007812EC">
        <w:rPr>
          <w:rFonts w:ascii="Verdana" w:hAnsi="Verdana"/>
          <w:i/>
          <w:color w:val="000000" w:themeColor="text1"/>
        </w:rPr>
        <w:t>Brown v. Brown</w:t>
      </w:r>
      <w:r w:rsidRPr="007812EC">
        <w:rPr>
          <w:rFonts w:ascii="Verdana" w:hAnsi="Verdana"/>
          <w:color w:val="000000" w:themeColor="text1"/>
        </w:rPr>
        <w:t xml:space="preserve">, 478 Mich. 545, 739 N.W.2d 313, 316–19 (2007)).) Under South Carolina law, “there is no general duty to control the conduct of another or to warn a third person or potential victim of danger.” </w:t>
      </w:r>
      <w:proofErr w:type="spellStart"/>
      <w:r w:rsidRPr="007812EC">
        <w:rPr>
          <w:rFonts w:ascii="Verdana" w:hAnsi="Verdana"/>
          <w:i/>
          <w:color w:val="000000" w:themeColor="text1"/>
        </w:rPr>
        <w:t>Faile</w:t>
      </w:r>
      <w:proofErr w:type="spellEnd"/>
      <w:r w:rsidRPr="007812EC">
        <w:rPr>
          <w:rFonts w:ascii="Verdana" w:hAnsi="Verdana"/>
          <w:i/>
          <w:color w:val="000000" w:themeColor="text1"/>
        </w:rPr>
        <w:t xml:space="preserve"> v. S.C. </w:t>
      </w:r>
      <w:proofErr w:type="spellStart"/>
      <w:r w:rsidRPr="007812EC">
        <w:rPr>
          <w:rFonts w:ascii="Verdana" w:hAnsi="Verdana"/>
          <w:i/>
          <w:color w:val="000000" w:themeColor="text1"/>
        </w:rPr>
        <w:t>Dep't</w:t>
      </w:r>
      <w:proofErr w:type="spellEnd"/>
      <w:r w:rsidRPr="007812EC">
        <w:rPr>
          <w:rFonts w:ascii="Verdana" w:hAnsi="Verdana"/>
          <w:i/>
          <w:color w:val="000000" w:themeColor="text1"/>
        </w:rPr>
        <w:t xml:space="preserve"> of Juv. Just.</w:t>
      </w:r>
      <w:r w:rsidRPr="007812EC">
        <w:rPr>
          <w:rFonts w:ascii="Verdana" w:hAnsi="Verdana"/>
          <w:color w:val="000000" w:themeColor="text1"/>
        </w:rPr>
        <w:t xml:space="preserve">, 350 S.C. 315, 566 S.E.2d 536, 546 (2002) (citing </w:t>
      </w:r>
      <w:r w:rsidRPr="007812EC">
        <w:rPr>
          <w:rFonts w:ascii="Verdana" w:hAnsi="Verdana"/>
          <w:i/>
          <w:color w:val="000000" w:themeColor="text1"/>
        </w:rPr>
        <w:t xml:space="preserve">Rogers v. South Carolina </w:t>
      </w:r>
      <w:proofErr w:type="spellStart"/>
      <w:r w:rsidRPr="007812EC">
        <w:rPr>
          <w:rFonts w:ascii="Verdana" w:hAnsi="Verdana"/>
          <w:i/>
          <w:color w:val="000000" w:themeColor="text1"/>
        </w:rPr>
        <w:t>Dep't</w:t>
      </w:r>
      <w:proofErr w:type="spellEnd"/>
      <w:r w:rsidRPr="007812EC">
        <w:rPr>
          <w:rFonts w:ascii="Verdana" w:hAnsi="Verdana"/>
          <w:i/>
          <w:color w:val="000000" w:themeColor="text1"/>
        </w:rPr>
        <w:t xml:space="preserve"> of Parole &amp; </w:t>
      </w:r>
      <w:proofErr w:type="spellStart"/>
      <w:r w:rsidRPr="007812EC">
        <w:rPr>
          <w:rFonts w:ascii="Verdana" w:hAnsi="Verdana"/>
          <w:i/>
          <w:color w:val="000000" w:themeColor="text1"/>
        </w:rPr>
        <w:t>Cmty</w:t>
      </w:r>
      <w:proofErr w:type="spellEnd"/>
      <w:r w:rsidRPr="007812EC">
        <w:rPr>
          <w:rFonts w:ascii="Verdana" w:hAnsi="Verdana"/>
          <w:i/>
          <w:color w:val="000000" w:themeColor="text1"/>
        </w:rPr>
        <w:t>. Corr.</w:t>
      </w:r>
      <w:r w:rsidRPr="007812EC">
        <w:rPr>
          <w:rFonts w:ascii="Verdana" w:hAnsi="Verdana"/>
          <w:color w:val="000000" w:themeColor="text1"/>
        </w:rPr>
        <w:t xml:space="preserve">, 320 S.C. 253, 464 S.E.2d 330 (1995); </w:t>
      </w:r>
      <w:r w:rsidRPr="007812EC">
        <w:rPr>
          <w:rFonts w:ascii="Verdana" w:hAnsi="Verdana"/>
          <w:i/>
          <w:color w:val="000000" w:themeColor="text1"/>
        </w:rPr>
        <w:t xml:space="preserve">Rayfield v. South Carolina </w:t>
      </w:r>
      <w:proofErr w:type="spellStart"/>
      <w:r w:rsidRPr="007812EC">
        <w:rPr>
          <w:rFonts w:ascii="Verdana" w:hAnsi="Verdana"/>
          <w:i/>
          <w:color w:val="000000" w:themeColor="text1"/>
        </w:rPr>
        <w:t>Dep't</w:t>
      </w:r>
      <w:proofErr w:type="spellEnd"/>
      <w:r w:rsidRPr="007812EC">
        <w:rPr>
          <w:rFonts w:ascii="Verdana" w:hAnsi="Verdana"/>
          <w:i/>
          <w:color w:val="000000" w:themeColor="text1"/>
        </w:rPr>
        <w:t xml:space="preserve"> of Corr.</w:t>
      </w:r>
      <w:r w:rsidRPr="007812EC">
        <w:rPr>
          <w:rFonts w:ascii="Verdana" w:hAnsi="Verdana"/>
          <w:color w:val="000000" w:themeColor="text1"/>
        </w:rPr>
        <w:t xml:space="preserve">, 297 S.C. 95, 374 S.E.2d 910 (S.C. Ct. App. 1988), </w:t>
      </w:r>
      <w:r w:rsidRPr="007812EC">
        <w:rPr>
          <w:rFonts w:ascii="Verdana" w:hAnsi="Verdana"/>
          <w:i/>
          <w:color w:val="000000" w:themeColor="text1"/>
        </w:rPr>
        <w:t>cert. denied</w:t>
      </w:r>
      <w:r w:rsidRPr="007812EC">
        <w:rPr>
          <w:rFonts w:ascii="Verdana" w:hAnsi="Verdana"/>
          <w:color w:val="000000" w:themeColor="text1"/>
        </w:rPr>
        <w:t>, 298 S.C. 204, 379 S.E.2d 133 (1989); Restatement (Second) of Torts § 314 (1965)). South Carolina recognizes five (5) exceptions to this rule:</w:t>
      </w:r>
    </w:p>
    <w:p w14:paraId="3B7DE16E" w14:textId="77777777" w:rsidR="00281447" w:rsidRPr="007812EC" w:rsidRDefault="00000000">
      <w:pPr>
        <w:spacing w:before="200" w:after="0" w:line="275" w:lineRule="atLeast"/>
        <w:ind w:left="480" w:right="480"/>
        <w:jc w:val="both"/>
        <w:rPr>
          <w:rFonts w:ascii="Verdana" w:hAnsi="Verdana"/>
          <w:color w:val="000000" w:themeColor="text1"/>
        </w:rPr>
      </w:pPr>
      <w:r w:rsidRPr="007812EC">
        <w:rPr>
          <w:rFonts w:ascii="Verdana" w:hAnsi="Verdana"/>
          <w:color w:val="000000" w:themeColor="text1"/>
        </w:rPr>
        <w:t>1) where the defendant has a special relationship to the victim; 2) where the defendant has a special relationship to the injurer; 3) where the defendant voluntarily undertakes a duty; 4) where the defendant negligently or intentionally creates the risk; and 5) where a statute imposes a duty on the defendant.</w:t>
      </w:r>
    </w:p>
    <w:p w14:paraId="673E0A42" w14:textId="6795DAF7" w:rsidR="00281447" w:rsidRPr="007812EC" w:rsidRDefault="00000000">
      <w:pPr>
        <w:spacing w:before="200" w:after="0" w:line="275" w:lineRule="atLeast"/>
        <w:jc w:val="both"/>
        <w:rPr>
          <w:rFonts w:ascii="Verdana" w:hAnsi="Verdana"/>
          <w:color w:val="000000" w:themeColor="text1"/>
        </w:rPr>
      </w:pPr>
      <w:proofErr w:type="spellStart"/>
      <w:r w:rsidRPr="007812EC">
        <w:rPr>
          <w:rFonts w:ascii="Verdana" w:hAnsi="Verdana"/>
          <w:i/>
          <w:color w:val="000000" w:themeColor="text1"/>
        </w:rPr>
        <w:t>Faile</w:t>
      </w:r>
      <w:proofErr w:type="spellEnd"/>
      <w:r w:rsidRPr="007812EC">
        <w:rPr>
          <w:rFonts w:ascii="Verdana" w:hAnsi="Verdana"/>
          <w:color w:val="000000" w:themeColor="text1"/>
        </w:rPr>
        <w:t>, 566 S.E.2d at 546 (citations omitted). Blackbaud contends none of these exceptions apply and therefore it had no duty to protect Plaintiffs from third party criminal conduct.</w:t>
      </w:r>
      <w:bookmarkStart w:id="21" w:name="co_fnRef_B00092054738524_ID0E4TCI_1"/>
      <w:r w:rsidRPr="007812EC">
        <w:rPr>
          <w:rFonts w:ascii="Verdana" w:hAnsi="Verdana"/>
          <w:color w:val="000000" w:themeColor="text1"/>
          <w:vertAlign w:val="superscript"/>
        </w:rPr>
        <w:t>9</w:t>
      </w:r>
      <w:bookmarkEnd w:id="21"/>
      <w:r w:rsidRPr="007812EC">
        <w:rPr>
          <w:rFonts w:ascii="Verdana" w:hAnsi="Verdana"/>
          <w:color w:val="000000" w:themeColor="text1"/>
        </w:rPr>
        <w:t xml:space="preserve"> (ECF No. 124-1 at 26–27 n.3.)</w:t>
      </w:r>
    </w:p>
    <w:p w14:paraId="521C62E3"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260A814C" w14:textId="5B5BBDB3" w:rsidR="00281447" w:rsidRPr="007812EC" w:rsidRDefault="00000000">
      <w:pPr>
        <w:spacing w:after="0" w:line="275" w:lineRule="atLeast"/>
        <w:jc w:val="both"/>
        <w:rPr>
          <w:rFonts w:ascii="Verdana" w:hAnsi="Verdana"/>
          <w:color w:val="000000" w:themeColor="text1"/>
        </w:rPr>
      </w:pPr>
      <w:bookmarkStart w:id="22" w:name="co_anchor_B182054738524_1"/>
      <w:bookmarkEnd w:id="22"/>
      <w:r w:rsidRPr="007812EC">
        <w:rPr>
          <w:rFonts w:ascii="Verdana" w:hAnsi="Verdana"/>
          <w:color w:val="000000" w:themeColor="text1"/>
        </w:rPr>
        <w:t xml:space="preserve">In addressing the first exception, Blackbaud maintains that in the absence of “any actual relationship with Blackbaud, Plaintiffs certainly have not pleaded a ‘special relationship’ sufficient to create a duty where it would not otherwise exist.” (ECF No. 124-1 at 29 (citing </w:t>
      </w:r>
      <w:r w:rsidRPr="007812EC">
        <w:rPr>
          <w:rFonts w:ascii="Verdana" w:hAnsi="Verdana"/>
          <w:i/>
          <w:color w:val="000000" w:themeColor="text1"/>
        </w:rPr>
        <w:t>Reno v. Chung</w:t>
      </w:r>
      <w:r w:rsidRPr="007812EC">
        <w:rPr>
          <w:rFonts w:ascii="Verdana" w:hAnsi="Verdana"/>
          <w:color w:val="000000" w:themeColor="text1"/>
        </w:rPr>
        <w:t xml:space="preserve">, 220 </w:t>
      </w:r>
      <w:proofErr w:type="spellStart"/>
      <w:r w:rsidRPr="007812EC">
        <w:rPr>
          <w:rFonts w:ascii="Verdana" w:hAnsi="Verdana"/>
          <w:color w:val="000000" w:themeColor="text1"/>
        </w:rPr>
        <w:t>Mich.App</w:t>
      </w:r>
      <w:proofErr w:type="spellEnd"/>
      <w:r w:rsidRPr="007812EC">
        <w:rPr>
          <w:rFonts w:ascii="Verdana" w:hAnsi="Verdana"/>
          <w:color w:val="000000" w:themeColor="text1"/>
        </w:rPr>
        <w:t xml:space="preserve">. 102, 559 N.W.2d 308, 309 (1996)).) South Carolina courts have recognized certain categories of special relationships when the defendant “has the ability to monitor, supervise and control an individual's conduct and when the individual has made a specific threat of harm directed at a specific individual.” </w:t>
      </w:r>
      <w:r w:rsidRPr="007812EC">
        <w:rPr>
          <w:rFonts w:ascii="Verdana" w:hAnsi="Verdana"/>
          <w:i/>
          <w:color w:val="000000" w:themeColor="text1"/>
        </w:rPr>
        <w:t>Roe v. Bibby</w:t>
      </w:r>
      <w:r w:rsidRPr="007812EC">
        <w:rPr>
          <w:rFonts w:ascii="Verdana" w:hAnsi="Verdana"/>
          <w:color w:val="000000" w:themeColor="text1"/>
        </w:rPr>
        <w:t xml:space="preserve">, 410 S.C. 287, 763 S.E.2d 645, 649 (S.C. Ct. App. 2014) (quoting </w:t>
      </w:r>
      <w:r w:rsidRPr="007812EC">
        <w:rPr>
          <w:rFonts w:ascii="Verdana" w:hAnsi="Verdana"/>
          <w:i/>
          <w:color w:val="000000" w:themeColor="text1"/>
        </w:rPr>
        <w:t>Doe v. Marion</w:t>
      </w:r>
      <w:r w:rsidRPr="007812EC">
        <w:rPr>
          <w:rFonts w:ascii="Verdana" w:hAnsi="Verdana"/>
          <w:color w:val="000000" w:themeColor="text1"/>
        </w:rPr>
        <w:t>, 373 S.C. 390, 645 S.E.2d 245, 250 (2007) (internal quotations omitted)).</w:t>
      </w:r>
      <w:bookmarkStart w:id="23" w:name="co_fnRef_B00102054738524_ID0E4WCI_1"/>
      <w:r w:rsidRPr="007812EC">
        <w:rPr>
          <w:rFonts w:ascii="Verdana" w:hAnsi="Verdana"/>
          <w:color w:val="000000" w:themeColor="text1"/>
          <w:vertAlign w:val="superscript"/>
        </w:rPr>
        <w:t>10</w:t>
      </w:r>
      <w:bookmarkEnd w:id="23"/>
      <w:r w:rsidRPr="007812EC">
        <w:rPr>
          <w:rFonts w:ascii="Verdana" w:hAnsi="Verdana"/>
          <w:color w:val="000000" w:themeColor="text1"/>
        </w:rPr>
        <w:t xml:space="preserve"> However, Plaintiffs allege that Blackbaud had control over the data and the security measures in place to protect the data; they do not allege that Blackbaud had any ability to monitor, supervise, or control the hackers or their conduct. Accordingly, this exception does not apply to create a duty for Blackbaud to protect Plaintiffs from the criminal conduct of third parties.</w:t>
      </w:r>
    </w:p>
    <w:p w14:paraId="7C0F0A7C"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68123AFE" w14:textId="415E9E7E" w:rsidR="00281447" w:rsidRPr="007812EC" w:rsidRDefault="00000000">
      <w:pPr>
        <w:spacing w:after="0" w:line="275" w:lineRule="atLeast"/>
        <w:jc w:val="both"/>
        <w:rPr>
          <w:rFonts w:ascii="Verdana" w:hAnsi="Verdana"/>
          <w:color w:val="000000" w:themeColor="text1"/>
        </w:rPr>
      </w:pPr>
      <w:bookmarkStart w:id="24" w:name="co_anchor_B192054738524_1"/>
      <w:bookmarkEnd w:id="24"/>
      <w:r w:rsidRPr="007812EC">
        <w:rPr>
          <w:rFonts w:ascii="Verdana" w:hAnsi="Verdana"/>
          <w:color w:val="000000" w:themeColor="text1"/>
        </w:rPr>
        <w:t>In addressing the third exception, Blackbaud explains that “the assumption of duty doctrine simply does not apply absent physical harm to the plaintiff.” (</w:t>
      </w:r>
      <w:r w:rsidRPr="007812EC">
        <w:rPr>
          <w:rFonts w:ascii="Verdana" w:hAnsi="Verdana"/>
          <w:i/>
          <w:color w:val="000000" w:themeColor="text1"/>
        </w:rPr>
        <w:t>Id.</w:t>
      </w:r>
      <w:r w:rsidRPr="007812EC">
        <w:rPr>
          <w:rFonts w:ascii="Verdana" w:hAnsi="Verdana"/>
          <w:color w:val="000000" w:themeColor="text1"/>
        </w:rPr>
        <w:t xml:space="preserve"> at 27–28 (citing Restatement (Second) of Torts § 324A).) The court agrees. In South Carolina, the recognition of a voluntarily assumed duty “is rooted in the Restatement of Torts,” </w:t>
      </w:r>
      <w:r w:rsidRPr="007812EC">
        <w:rPr>
          <w:rFonts w:ascii="Verdana" w:hAnsi="Verdana"/>
          <w:i/>
          <w:color w:val="000000" w:themeColor="text1"/>
        </w:rPr>
        <w:t>Johnson v. Robert E. Lee Acad.</w:t>
      </w:r>
      <w:r w:rsidRPr="007812EC">
        <w:rPr>
          <w:rFonts w:ascii="Verdana" w:hAnsi="Verdana"/>
          <w:color w:val="000000" w:themeColor="text1"/>
        </w:rPr>
        <w:t xml:space="preserve">, 401 S.C. 500, 737 S.E.2d 512, 514 (S.C. Ct. App. 2012), which provides that “[o]ne who undertakes, gratuitously or for consideration, to render services to another which he should recognize as necessary for the protection of the other's person or things, is subject to liability to the other for </w:t>
      </w:r>
      <w:r w:rsidRPr="007812EC">
        <w:rPr>
          <w:rFonts w:ascii="Verdana" w:hAnsi="Verdana"/>
          <w:i/>
          <w:color w:val="000000" w:themeColor="text1"/>
        </w:rPr>
        <w:t>physical harm</w:t>
      </w:r>
      <w:r w:rsidRPr="007812EC">
        <w:rPr>
          <w:rFonts w:ascii="Verdana" w:hAnsi="Verdana"/>
          <w:color w:val="000000" w:themeColor="text1"/>
        </w:rPr>
        <w:t xml:space="preserve"> resulting from his failure to exercise reasonable care.” Restatement (Second) of Torts § 323 (emphasis added); </w:t>
      </w:r>
      <w:r w:rsidRPr="007812EC">
        <w:rPr>
          <w:rFonts w:ascii="Verdana" w:hAnsi="Verdana"/>
          <w:i/>
          <w:color w:val="000000" w:themeColor="text1"/>
        </w:rPr>
        <w:t>see also</w:t>
      </w:r>
      <w:r w:rsidRPr="007812EC">
        <w:rPr>
          <w:rFonts w:ascii="Verdana" w:hAnsi="Verdana"/>
          <w:color w:val="000000" w:themeColor="text1"/>
        </w:rPr>
        <w:t xml:space="preserve"> </w:t>
      </w:r>
      <w:r w:rsidRPr="007812EC">
        <w:rPr>
          <w:rFonts w:ascii="Verdana" w:hAnsi="Verdana"/>
          <w:i/>
          <w:color w:val="000000" w:themeColor="text1"/>
        </w:rPr>
        <w:t>McPherson v. CSX Transp., Inc.</w:t>
      </w:r>
      <w:r w:rsidRPr="007812EC">
        <w:rPr>
          <w:rFonts w:ascii="Verdana" w:hAnsi="Verdana"/>
          <w:color w:val="000000" w:themeColor="text1"/>
        </w:rPr>
        <w:t xml:space="preserve">, No. 4:16-CV-2725-BHH, 2017 WL 1135291, at *6 (D.S.C. Mar. 27, 2017) (“South Carolina courts have generally applied the voluntary assumption of duty doctrine ‘only to situations in which a person suffers physical harm from </w:t>
      </w:r>
      <w:r w:rsidRPr="007812EC">
        <w:rPr>
          <w:rFonts w:ascii="Verdana" w:hAnsi="Verdana"/>
          <w:color w:val="000000" w:themeColor="text1"/>
        </w:rPr>
        <w:lastRenderedPageBreak/>
        <w:t>the failure to exercise reasonable care and not cases in which financial harm is the only damage.</w:t>
      </w:r>
      <w:proofErr w:type="gramStart"/>
      <w:r w:rsidRPr="007812EC">
        <w:rPr>
          <w:rFonts w:ascii="Verdana" w:hAnsi="Verdana"/>
          <w:color w:val="000000" w:themeColor="text1"/>
        </w:rPr>
        <w:t>’ ”</w:t>
      </w:r>
      <w:proofErr w:type="gramEnd"/>
      <w:r w:rsidRPr="007812EC">
        <w:rPr>
          <w:rFonts w:ascii="Verdana" w:hAnsi="Verdana"/>
          <w:color w:val="000000" w:themeColor="text1"/>
        </w:rPr>
        <w:t>). Thus, this exception also does not apply to create a duty for Blackbaud to protect Plaintiffs from the criminal conduct of third parties.</w:t>
      </w:r>
    </w:p>
    <w:p w14:paraId="1E6E1D88"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016FBC88" w14:textId="185B3AE9" w:rsidR="00281447" w:rsidRPr="007812EC" w:rsidRDefault="00000000">
      <w:pPr>
        <w:spacing w:after="0" w:line="275" w:lineRule="atLeast"/>
        <w:jc w:val="both"/>
        <w:rPr>
          <w:rFonts w:ascii="Verdana" w:hAnsi="Verdana"/>
          <w:color w:val="000000" w:themeColor="text1"/>
        </w:rPr>
      </w:pPr>
      <w:bookmarkStart w:id="25" w:name="co_anchor_B202054738524_1"/>
      <w:bookmarkStart w:id="26" w:name="co_anchor_B212054738524_1"/>
      <w:bookmarkEnd w:id="25"/>
      <w:bookmarkEnd w:id="26"/>
      <w:r w:rsidRPr="007812EC">
        <w:rPr>
          <w:rFonts w:ascii="Verdana" w:hAnsi="Verdana"/>
          <w:color w:val="000000" w:themeColor="text1"/>
        </w:rPr>
        <w:t>Plaintiffs also allege, however, that the fourth exception applies: that Blackbaud had a duty to protect Plaintiffs from the criminal conduct of third parties based on Blackbaud's own negligent conduct in creating the risk by failing to use reasonable security measures. (</w:t>
      </w:r>
      <w:r w:rsidRPr="007812EC">
        <w:rPr>
          <w:rFonts w:ascii="Verdana" w:hAnsi="Verdana"/>
          <w:i/>
          <w:color w:val="000000" w:themeColor="text1"/>
        </w:rPr>
        <w:t>See</w:t>
      </w:r>
      <w:r w:rsidRPr="007812EC">
        <w:rPr>
          <w:rFonts w:ascii="Verdana" w:hAnsi="Verdana"/>
          <w:color w:val="000000" w:themeColor="text1"/>
        </w:rPr>
        <w:t xml:space="preserve"> ECF Nos. 77 at 175 ¶ 638, 77 ¶ 646; 142 at 23–24.) A common law duty may arise where a defendant creates “a situation that [it] knew or should have known posed a substantial risk of injury” to a plaintiff.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 xml:space="preserve">Edwards v. Lexington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xml:space="preserve">. Sheriff's </w:t>
      </w:r>
      <w:proofErr w:type="spellStart"/>
      <w:r w:rsidRPr="007812EC">
        <w:rPr>
          <w:rFonts w:ascii="Verdana" w:hAnsi="Verdana"/>
          <w:i/>
          <w:color w:val="000000" w:themeColor="text1"/>
        </w:rPr>
        <w:t>Dep't</w:t>
      </w:r>
      <w:proofErr w:type="spellEnd"/>
      <w:r w:rsidRPr="007812EC">
        <w:rPr>
          <w:rFonts w:ascii="Verdana" w:hAnsi="Verdana"/>
          <w:color w:val="000000" w:themeColor="text1"/>
        </w:rPr>
        <w:t>, 386 S.C. 285, 688 S.E.2d 125, 130 (2010). Plaintiffs assert that despite Blackbaud's acknowledgement of the risk of cyberattacks and repeated notifications of the inadequacy of its systems, Blackbaud “failed to correct, update, or upgrade its security protections.” (ECF No. 142 at 23–24 (citing ECF No. 70 at 13 ¶¶ 28–29, 131–37 ¶¶ 476–96).) The court finds Plaintiffs have alleged facts supporting the application of this exception to the general rule that there is no duty to protect another from the conduct of third parties.</w:t>
      </w:r>
    </w:p>
    <w:p w14:paraId="36A063E1"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42248A9A" w14:textId="322DCD31"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Based upon the foregoing, the court finds Plaintiffs have alleged sufficient facts to support their assertion that Blackbaud owed them a duty based on the special circumstances of Blackbaud's contracts with the Social Good Entities and Blackbaud's alleged creation of the risk.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In re Sony Gaming Networks and Customer Data Sec. Breach Litig.</w:t>
      </w:r>
      <w:r w:rsidRPr="007812EC">
        <w:rPr>
          <w:rFonts w:ascii="Verdana" w:hAnsi="Verdana"/>
          <w:color w:val="000000" w:themeColor="text1"/>
        </w:rPr>
        <w:t>, 996 F. Supp. 2d 942, 966 (</w:t>
      </w:r>
      <w:proofErr w:type="spellStart"/>
      <w:r w:rsidRPr="007812EC">
        <w:rPr>
          <w:rFonts w:ascii="Verdana" w:hAnsi="Verdana"/>
          <w:color w:val="000000" w:themeColor="text1"/>
        </w:rPr>
        <w:t>S.D.Cal</w:t>
      </w:r>
      <w:proofErr w:type="spellEnd"/>
      <w:r w:rsidRPr="007812EC">
        <w:rPr>
          <w:rFonts w:ascii="Verdana" w:hAnsi="Verdana"/>
          <w:color w:val="000000" w:themeColor="text1"/>
        </w:rPr>
        <w:t>. 2014) (finding the recognition of a legal duty “to safeguard a consumer's confidential information entrusted to a commercial entity” supported by both “common sense” and the law). Accordingly, the court declines to dismiss Plaintiffs’ general negligence claims based on their failure to allege a duty.</w:t>
      </w:r>
    </w:p>
    <w:p w14:paraId="0EE60F6A"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2AEA0457" w14:textId="77777777" w:rsidR="00281447" w:rsidRPr="007812EC" w:rsidRDefault="00000000">
      <w:pPr>
        <w:pBdr>
          <w:left w:val="none" w:sz="0" w:space="10" w:color="auto"/>
        </w:pBdr>
        <w:spacing w:before="400" w:after="0" w:line="275" w:lineRule="atLeast"/>
        <w:ind w:left="200"/>
        <w:rPr>
          <w:rFonts w:ascii="Verdana" w:hAnsi="Verdana"/>
          <w:color w:val="000000" w:themeColor="text1"/>
        </w:rPr>
      </w:pPr>
      <w:bookmarkStart w:id="27" w:name="co_anchor_I99e5f5a12b0c11eda656a81172"/>
      <w:bookmarkStart w:id="28" w:name="co_anchor_I99e5f5a12b0c11eda656a8117255"/>
      <w:r w:rsidRPr="007812EC">
        <w:rPr>
          <w:rFonts w:ascii="Verdana" w:hAnsi="Verdana"/>
          <w:color w:val="000000" w:themeColor="text1"/>
        </w:rPr>
        <w:t xml:space="preserve">B. </w:t>
      </w:r>
      <w:r w:rsidRPr="007812EC">
        <w:rPr>
          <w:rFonts w:ascii="Verdana" w:hAnsi="Verdana"/>
          <w:color w:val="000000" w:themeColor="text1"/>
          <w:u w:val="single" w:color="000000"/>
        </w:rPr>
        <w:t>Gross Negligence</w:t>
      </w:r>
    </w:p>
    <w:p w14:paraId="6EB5453C" w14:textId="69504E7E" w:rsidR="00281447" w:rsidRPr="007812EC" w:rsidRDefault="00000000">
      <w:pPr>
        <w:spacing w:after="0" w:line="275" w:lineRule="atLeast"/>
        <w:jc w:val="both"/>
        <w:rPr>
          <w:rFonts w:ascii="Verdana" w:hAnsi="Verdana"/>
          <w:color w:val="000000" w:themeColor="text1"/>
        </w:rPr>
      </w:pPr>
      <w:bookmarkStart w:id="29" w:name="co_anchor_B222054738524_1"/>
      <w:bookmarkStart w:id="30" w:name="co_anchor_B232054738524_1"/>
      <w:bookmarkEnd w:id="27"/>
      <w:bookmarkEnd w:id="28"/>
      <w:bookmarkEnd w:id="29"/>
      <w:bookmarkEnd w:id="30"/>
      <w:r w:rsidRPr="007812EC">
        <w:rPr>
          <w:rFonts w:ascii="Verdana" w:hAnsi="Verdana"/>
          <w:color w:val="000000" w:themeColor="text1"/>
        </w:rPr>
        <w:t xml:space="preserve">Blackbaud also argues that each of Plaintiffs’ claims for gross negligence fail because Plaintiffs cannot show Blackbaud owed them a duty. (ECF No. 124-1 at 31.) Generally, to state a claim for gross negligence a plaintiff must plead the same elements as a claim for negligence.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 xml:space="preserve">Cockrell v. Lexington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Sch. Dist. One</w:t>
      </w:r>
      <w:r w:rsidRPr="007812EC">
        <w:rPr>
          <w:rFonts w:ascii="Verdana" w:hAnsi="Verdana"/>
          <w:color w:val="000000" w:themeColor="text1"/>
        </w:rPr>
        <w:t xml:space="preserve">, No. 3:11-CV-2042-CMC, 2011 WL 5554811, at *5 (D.S.C. Nov. 15, 2011). However, negligence is the failure to exercise due care, while gross negligence is the failure to exercise slight care. </w:t>
      </w:r>
      <w:r w:rsidRPr="007812EC">
        <w:rPr>
          <w:rFonts w:ascii="Verdana" w:hAnsi="Verdana"/>
          <w:i/>
          <w:color w:val="000000" w:themeColor="text1"/>
        </w:rPr>
        <w:t xml:space="preserve">Clyburn v. Sumter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Sch. Dist. # 17</w:t>
      </w:r>
      <w:r w:rsidRPr="007812EC">
        <w:rPr>
          <w:rFonts w:ascii="Verdana" w:hAnsi="Verdana"/>
          <w:color w:val="000000" w:themeColor="text1"/>
        </w:rPr>
        <w:t>, 317 S.C. 50, 451 S.E.2d 885, 887 (1994) (“Gross negligence has also been defined as a relative term and means the absence of care that is necessary under the circumstances.”) (</w:t>
      </w:r>
      <w:proofErr w:type="gramStart"/>
      <w:r w:rsidRPr="007812EC">
        <w:rPr>
          <w:rFonts w:ascii="Verdana" w:hAnsi="Verdana"/>
          <w:color w:val="000000" w:themeColor="text1"/>
        </w:rPr>
        <w:t>citing</w:t>
      </w:r>
      <w:proofErr w:type="gramEnd"/>
      <w:r w:rsidRPr="007812EC">
        <w:rPr>
          <w:rFonts w:ascii="Verdana" w:hAnsi="Verdana"/>
          <w:color w:val="000000" w:themeColor="text1"/>
        </w:rPr>
        <w:t xml:space="preserve"> </w:t>
      </w:r>
      <w:r w:rsidRPr="007812EC">
        <w:rPr>
          <w:rFonts w:ascii="Verdana" w:hAnsi="Verdana"/>
          <w:i/>
          <w:color w:val="000000" w:themeColor="text1"/>
        </w:rPr>
        <w:t xml:space="preserve">Hollins v. Richland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Sch. Dist. One</w:t>
      </w:r>
      <w:r w:rsidRPr="007812EC">
        <w:rPr>
          <w:rFonts w:ascii="Verdana" w:hAnsi="Verdana"/>
          <w:color w:val="000000" w:themeColor="text1"/>
        </w:rPr>
        <w:t xml:space="preserve">, 310 S.C. 486, 427 S.E.2d 654 (1993)). Because the court finds Plaintiffs have sufficiently alleged the duty owed by </w:t>
      </w:r>
      <w:proofErr w:type="spellStart"/>
      <w:r w:rsidRPr="007812EC">
        <w:rPr>
          <w:rFonts w:ascii="Verdana" w:hAnsi="Verdana"/>
          <w:color w:val="000000" w:themeColor="text1"/>
        </w:rPr>
        <w:t>Blackabud</w:t>
      </w:r>
      <w:proofErr w:type="spellEnd"/>
      <w:r w:rsidRPr="007812EC">
        <w:rPr>
          <w:rFonts w:ascii="Verdana" w:hAnsi="Verdana"/>
          <w:color w:val="000000" w:themeColor="text1"/>
        </w:rPr>
        <w:t xml:space="preserve"> and Blackbaud has not challenged Plaintiffs’ gross negligence claims on any other basis,</w:t>
      </w:r>
      <w:bookmarkStart w:id="31" w:name="co_fnRef_B00112054738524_ID0EPDDI_1"/>
      <w:r w:rsidRPr="007812EC">
        <w:rPr>
          <w:rFonts w:ascii="Verdana" w:hAnsi="Verdana"/>
          <w:color w:val="000000" w:themeColor="text1"/>
          <w:vertAlign w:val="superscript"/>
        </w:rPr>
        <w:t>11</w:t>
      </w:r>
      <w:bookmarkEnd w:id="31"/>
      <w:r w:rsidRPr="007812EC">
        <w:rPr>
          <w:rFonts w:ascii="Verdana" w:hAnsi="Verdana"/>
          <w:color w:val="000000" w:themeColor="text1"/>
        </w:rPr>
        <w:t xml:space="preserve"> the court declines to dismiss Plaintiffs’ gross negligence claims at this time.</w:t>
      </w:r>
    </w:p>
    <w:p w14:paraId="3B2E0183"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6EFCDC06" w14:textId="77777777" w:rsidR="00281447" w:rsidRPr="007812EC" w:rsidRDefault="00000000">
      <w:pPr>
        <w:pBdr>
          <w:left w:val="none" w:sz="0" w:space="10" w:color="auto"/>
        </w:pBdr>
        <w:spacing w:before="400" w:after="0" w:line="275" w:lineRule="atLeast"/>
        <w:ind w:left="200"/>
        <w:rPr>
          <w:rFonts w:ascii="Verdana" w:hAnsi="Verdana"/>
          <w:color w:val="000000" w:themeColor="text1"/>
        </w:rPr>
      </w:pPr>
      <w:bookmarkStart w:id="32" w:name="co_anchor_I99e7f1712b0c11eda656a81172"/>
      <w:bookmarkStart w:id="33" w:name="co_anchor_I99e7f1712b0c11eda656a8117255"/>
      <w:r w:rsidRPr="007812EC">
        <w:rPr>
          <w:rFonts w:ascii="Verdana" w:hAnsi="Verdana"/>
          <w:color w:val="000000" w:themeColor="text1"/>
        </w:rPr>
        <w:t xml:space="preserve">C. </w:t>
      </w:r>
      <w:r w:rsidRPr="007812EC">
        <w:rPr>
          <w:rFonts w:ascii="Verdana" w:hAnsi="Verdana"/>
          <w:color w:val="000000" w:themeColor="text1"/>
          <w:u w:val="single" w:color="000000"/>
        </w:rPr>
        <w:t xml:space="preserve">Negligence </w:t>
      </w:r>
      <w:r w:rsidRPr="007812EC">
        <w:rPr>
          <w:rFonts w:ascii="Verdana" w:hAnsi="Verdana"/>
          <w:i/>
          <w:color w:val="000000" w:themeColor="text1"/>
          <w:u w:val="single" w:color="000000"/>
        </w:rPr>
        <w:t>Per Se</w:t>
      </w:r>
    </w:p>
    <w:bookmarkEnd w:id="32"/>
    <w:bookmarkEnd w:id="33"/>
    <w:p w14:paraId="7591BF6C"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lastRenderedPageBreak/>
        <w:t xml:space="preserve">Plaintiffs assert claims for negligence </w:t>
      </w:r>
      <w:r w:rsidRPr="007812EC">
        <w:rPr>
          <w:rFonts w:ascii="Verdana" w:hAnsi="Verdana"/>
          <w:i/>
          <w:color w:val="000000" w:themeColor="text1"/>
        </w:rPr>
        <w:t>per se</w:t>
      </w:r>
      <w:r w:rsidRPr="007812EC">
        <w:rPr>
          <w:rFonts w:ascii="Verdana" w:hAnsi="Verdana"/>
          <w:color w:val="000000" w:themeColor="text1"/>
        </w:rPr>
        <w:t xml:space="preserve"> based upon Blackbaud's alleged violations of the Federal Trade Commission Act (“FTC Act”), the Healthcare Insurance Portability and Accountability Act of 1996 (“HIPAA”), and the Children's Online Privacy Protection Act (“COPPA”). (ECF No. 77 at 127 ¶ 464.) Blackbaud argues Plaintiffs’ negligence </w:t>
      </w:r>
      <w:r w:rsidRPr="007812EC">
        <w:rPr>
          <w:rFonts w:ascii="Verdana" w:hAnsi="Verdana"/>
          <w:i/>
          <w:color w:val="000000" w:themeColor="text1"/>
        </w:rPr>
        <w:t>per se</w:t>
      </w:r>
      <w:r w:rsidRPr="007812EC">
        <w:rPr>
          <w:rFonts w:ascii="Verdana" w:hAnsi="Verdana"/>
          <w:color w:val="000000" w:themeColor="text1"/>
        </w:rPr>
        <w:t xml:space="preserve"> claims fail because South Carolina law requires that “[t]he underlying statute purporting to form the basis for a negligence </w:t>
      </w:r>
      <w:r w:rsidRPr="007812EC">
        <w:rPr>
          <w:rFonts w:ascii="Verdana" w:hAnsi="Verdana"/>
          <w:i/>
          <w:color w:val="000000" w:themeColor="text1"/>
        </w:rPr>
        <w:t>per se</w:t>
      </w:r>
      <w:r w:rsidRPr="007812EC">
        <w:rPr>
          <w:rFonts w:ascii="Verdana" w:hAnsi="Verdana"/>
          <w:color w:val="000000" w:themeColor="text1"/>
        </w:rPr>
        <w:t xml:space="preserve"> claim must itself provide a private claim for relief,” but the statutes Plaintiffs cite provide no such relief. (ECF No. 124-1 at 35.)</w:t>
      </w:r>
    </w:p>
    <w:p w14:paraId="73698C24"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3322F4C" w14:textId="4F0E6979" w:rsidR="00281447" w:rsidRPr="007812EC" w:rsidRDefault="00000000">
      <w:pPr>
        <w:spacing w:after="0" w:line="275" w:lineRule="atLeast"/>
        <w:jc w:val="both"/>
        <w:rPr>
          <w:rFonts w:ascii="Verdana" w:hAnsi="Verdana"/>
          <w:color w:val="000000" w:themeColor="text1"/>
        </w:rPr>
      </w:pPr>
      <w:bookmarkStart w:id="34" w:name="co_anchor_B242054738524_1"/>
      <w:bookmarkStart w:id="35" w:name="co_anchor_B252054738524_1"/>
      <w:bookmarkStart w:id="36" w:name="co_anchor_B262054738524_1"/>
      <w:bookmarkEnd w:id="34"/>
      <w:bookmarkEnd w:id="35"/>
      <w:bookmarkEnd w:id="36"/>
      <w:r w:rsidRPr="007812EC">
        <w:rPr>
          <w:rFonts w:ascii="Verdana" w:hAnsi="Verdana"/>
          <w:color w:val="000000" w:themeColor="text1"/>
        </w:rPr>
        <w:t xml:space="preserve">A claim for negligence </w:t>
      </w:r>
      <w:r w:rsidRPr="007812EC">
        <w:rPr>
          <w:rFonts w:ascii="Verdana" w:hAnsi="Verdana"/>
          <w:i/>
          <w:color w:val="000000" w:themeColor="text1"/>
        </w:rPr>
        <w:t>per se</w:t>
      </w:r>
      <w:r w:rsidRPr="007812EC">
        <w:rPr>
          <w:rFonts w:ascii="Verdana" w:hAnsi="Verdana"/>
          <w:color w:val="000000" w:themeColor="text1"/>
        </w:rPr>
        <w:t xml:space="preserve"> “is established by showing a statute created a duty to the plaintiff and the defendant breached that duty by violating the statute.” </w:t>
      </w:r>
      <w:r w:rsidRPr="007812EC">
        <w:rPr>
          <w:rFonts w:ascii="Verdana" w:hAnsi="Verdana"/>
          <w:i/>
          <w:color w:val="000000" w:themeColor="text1"/>
        </w:rPr>
        <w:t xml:space="preserve">Seals by Causey v. </w:t>
      </w:r>
      <w:proofErr w:type="spellStart"/>
      <w:r w:rsidRPr="007812EC">
        <w:rPr>
          <w:rFonts w:ascii="Verdana" w:hAnsi="Verdana"/>
          <w:i/>
          <w:color w:val="000000" w:themeColor="text1"/>
        </w:rPr>
        <w:t>Winburn</w:t>
      </w:r>
      <w:proofErr w:type="spellEnd"/>
      <w:r w:rsidRPr="007812EC">
        <w:rPr>
          <w:rFonts w:ascii="Verdana" w:hAnsi="Verdana"/>
          <w:color w:val="000000" w:themeColor="text1"/>
        </w:rPr>
        <w:t xml:space="preserve">, 314 S.C. 416, 445 S.E.2d 94, 96 (S.C. Ct. App. 1994) (citing </w:t>
      </w:r>
      <w:proofErr w:type="spellStart"/>
      <w:r w:rsidRPr="007812EC">
        <w:rPr>
          <w:rFonts w:ascii="Verdana" w:hAnsi="Verdana"/>
          <w:i/>
          <w:color w:val="000000" w:themeColor="text1"/>
        </w:rPr>
        <w:t>Whitlaw</w:t>
      </w:r>
      <w:proofErr w:type="spellEnd"/>
      <w:r w:rsidRPr="007812EC">
        <w:rPr>
          <w:rFonts w:ascii="Verdana" w:hAnsi="Verdana"/>
          <w:i/>
          <w:color w:val="000000" w:themeColor="text1"/>
        </w:rPr>
        <w:t xml:space="preserve"> v. Kroger Co.</w:t>
      </w:r>
      <w:r w:rsidRPr="007812EC">
        <w:rPr>
          <w:rFonts w:ascii="Verdana" w:hAnsi="Verdana"/>
          <w:color w:val="000000" w:themeColor="text1"/>
        </w:rPr>
        <w:t xml:space="preserve">, 306 S.C. 51, 410 S.E.2d 251 (1991)). Generally, “[a] statute must permit a private cause of action in order for plaintiffs to maintain a civil suit” for negligence </w:t>
      </w:r>
      <w:r w:rsidRPr="007812EC">
        <w:rPr>
          <w:rFonts w:ascii="Verdana" w:hAnsi="Verdana"/>
          <w:i/>
          <w:color w:val="000000" w:themeColor="text1"/>
        </w:rPr>
        <w:t>per se.</w:t>
      </w:r>
      <w:r w:rsidRPr="007812EC">
        <w:rPr>
          <w:rFonts w:ascii="Verdana" w:hAnsi="Verdana"/>
          <w:color w:val="000000" w:themeColor="text1"/>
        </w:rPr>
        <w:t xml:space="preserve"> </w:t>
      </w:r>
      <w:r w:rsidRPr="007812EC">
        <w:rPr>
          <w:rFonts w:ascii="Verdana" w:hAnsi="Verdana"/>
          <w:i/>
          <w:color w:val="000000" w:themeColor="text1"/>
        </w:rPr>
        <w:t>Salley v. Heartland-Charleston of Hanahan, SC, LLC</w:t>
      </w:r>
      <w:r w:rsidRPr="007812EC">
        <w:rPr>
          <w:rFonts w:ascii="Verdana" w:hAnsi="Verdana"/>
          <w:color w:val="000000" w:themeColor="text1"/>
        </w:rPr>
        <w:t xml:space="preserve">, 2011 WL 2728051, at *3 (D.S.C. July 12, 2011). “However, that private cause of action need not be explicit.” </w:t>
      </w:r>
      <w:r w:rsidRPr="007812EC">
        <w:rPr>
          <w:rFonts w:ascii="Verdana" w:hAnsi="Verdana"/>
          <w:i/>
          <w:color w:val="000000" w:themeColor="text1"/>
        </w:rPr>
        <w:t>J.R. v. Walgreens Boots Alliance Inc.</w:t>
      </w:r>
      <w:r w:rsidRPr="007812EC">
        <w:rPr>
          <w:rFonts w:ascii="Verdana" w:hAnsi="Verdana"/>
          <w:color w:val="000000" w:themeColor="text1"/>
        </w:rPr>
        <w:t>, 470 F. Supp. 3d 534, 553 (D.S.C. 2020).</w:t>
      </w:r>
    </w:p>
    <w:p w14:paraId="274D57F1" w14:textId="77777777" w:rsidR="00281447" w:rsidRPr="007812EC" w:rsidRDefault="00000000">
      <w:pPr>
        <w:spacing w:before="200" w:after="0" w:line="275" w:lineRule="atLeast"/>
        <w:ind w:left="480" w:right="480"/>
        <w:jc w:val="both"/>
        <w:rPr>
          <w:rFonts w:ascii="Verdana" w:hAnsi="Verdana"/>
          <w:color w:val="000000" w:themeColor="text1"/>
        </w:rPr>
      </w:pPr>
      <w:r w:rsidRPr="007812EC">
        <w:rPr>
          <w:rFonts w:ascii="Verdana" w:hAnsi="Verdana"/>
          <w:color w:val="000000" w:themeColor="text1"/>
        </w:rPr>
        <w:t>In order to show that the defendant owes him a duty of care arising from a statute, the plaintiff must show two things: (1) that the essential purpose of the statute is to protect from the kind of harm the plaintiff has suffered; and (2) that he is a member of the class of persons the statute is intended to protect.</w:t>
      </w:r>
    </w:p>
    <w:p w14:paraId="5D339084" w14:textId="7B1E4B18" w:rsidR="00281447" w:rsidRPr="007812EC" w:rsidRDefault="00000000">
      <w:pPr>
        <w:spacing w:before="200" w:after="0" w:line="275" w:lineRule="atLeast"/>
        <w:jc w:val="both"/>
        <w:rPr>
          <w:rFonts w:ascii="Verdana" w:hAnsi="Verdana"/>
          <w:color w:val="000000" w:themeColor="text1"/>
        </w:rPr>
      </w:pPr>
      <w:proofErr w:type="spellStart"/>
      <w:r w:rsidRPr="007812EC">
        <w:rPr>
          <w:rFonts w:ascii="Verdana" w:hAnsi="Verdana"/>
          <w:i/>
          <w:color w:val="000000" w:themeColor="text1"/>
        </w:rPr>
        <w:t>Whitlaw</w:t>
      </w:r>
      <w:proofErr w:type="spellEnd"/>
      <w:r w:rsidRPr="007812EC">
        <w:rPr>
          <w:rFonts w:ascii="Verdana" w:hAnsi="Verdana"/>
          <w:color w:val="000000" w:themeColor="text1"/>
        </w:rPr>
        <w:t xml:space="preserve">, 410 S.E.2d at 252 (citing </w:t>
      </w:r>
      <w:r w:rsidRPr="007812EC">
        <w:rPr>
          <w:rFonts w:ascii="Verdana" w:hAnsi="Verdana"/>
          <w:i/>
          <w:color w:val="000000" w:themeColor="text1"/>
        </w:rPr>
        <w:t>Rayfield</w:t>
      </w:r>
      <w:r w:rsidRPr="007812EC">
        <w:rPr>
          <w:rFonts w:ascii="Verdana" w:hAnsi="Verdana"/>
          <w:color w:val="000000" w:themeColor="text1"/>
        </w:rPr>
        <w:t xml:space="preserve">, 374 S.E.2d at 914). “In South Carolina, however, for a statute to support a claim for negligence </w:t>
      </w:r>
      <w:r w:rsidRPr="007812EC">
        <w:rPr>
          <w:rFonts w:ascii="Verdana" w:hAnsi="Verdana"/>
          <w:i/>
          <w:color w:val="000000" w:themeColor="text1"/>
        </w:rPr>
        <w:t xml:space="preserve">per </w:t>
      </w:r>
      <w:proofErr w:type="gramStart"/>
      <w:r w:rsidRPr="007812EC">
        <w:rPr>
          <w:rFonts w:ascii="Verdana" w:hAnsi="Verdana"/>
          <w:i/>
          <w:color w:val="000000" w:themeColor="text1"/>
        </w:rPr>
        <w:t>se</w:t>
      </w:r>
      <w:r w:rsidRPr="007812EC">
        <w:rPr>
          <w:rFonts w:ascii="Verdana" w:hAnsi="Verdana"/>
          <w:color w:val="000000" w:themeColor="text1"/>
        </w:rPr>
        <w:t>[</w:t>
      </w:r>
      <w:proofErr w:type="gramEnd"/>
      <w:r w:rsidRPr="007812EC">
        <w:rPr>
          <w:rFonts w:ascii="Verdana" w:hAnsi="Verdana"/>
          <w:color w:val="000000" w:themeColor="text1"/>
        </w:rPr>
        <w:t xml:space="preserve">,] a plaintiff must show that the statute was ‘enacted for the special benefit of a private party.’ ” </w:t>
      </w:r>
      <w:proofErr w:type="spellStart"/>
      <w:r w:rsidRPr="007812EC">
        <w:rPr>
          <w:rFonts w:ascii="Verdana" w:hAnsi="Verdana"/>
          <w:i/>
          <w:color w:val="000000" w:themeColor="text1"/>
        </w:rPr>
        <w:t>Winley</w:t>
      </w:r>
      <w:proofErr w:type="spellEnd"/>
      <w:r w:rsidRPr="007812EC">
        <w:rPr>
          <w:rFonts w:ascii="Verdana" w:hAnsi="Verdana"/>
          <w:i/>
          <w:color w:val="000000" w:themeColor="text1"/>
        </w:rPr>
        <w:t xml:space="preserve"> v. Int'l Paper Co.</w:t>
      </w:r>
      <w:r w:rsidRPr="007812EC">
        <w:rPr>
          <w:rFonts w:ascii="Verdana" w:hAnsi="Verdana"/>
          <w:color w:val="000000" w:themeColor="text1"/>
        </w:rPr>
        <w:t xml:space="preserve">, No. 2:09-cv-02030-CWH, 2012 WL 13047989, at * 10 (D.S.C. Oct. 23, 2012) (citing </w:t>
      </w:r>
      <w:r w:rsidRPr="007812EC">
        <w:rPr>
          <w:rFonts w:ascii="Verdana" w:hAnsi="Verdana"/>
          <w:i/>
          <w:color w:val="000000" w:themeColor="text1"/>
        </w:rPr>
        <w:t>Doe v. Marion</w:t>
      </w:r>
      <w:r w:rsidRPr="007812EC">
        <w:rPr>
          <w:rFonts w:ascii="Verdana" w:hAnsi="Verdana"/>
          <w:color w:val="000000" w:themeColor="text1"/>
        </w:rPr>
        <w:t xml:space="preserve">, 645 S.E.2d at 248). Thus, to survive a motion to dismiss on their claims for negligence </w:t>
      </w:r>
      <w:r w:rsidRPr="007812EC">
        <w:rPr>
          <w:rFonts w:ascii="Verdana" w:hAnsi="Verdana"/>
          <w:i/>
          <w:color w:val="000000" w:themeColor="text1"/>
        </w:rPr>
        <w:t>per se</w:t>
      </w:r>
      <w:r w:rsidRPr="007812EC">
        <w:rPr>
          <w:rFonts w:ascii="Verdana" w:hAnsi="Verdana"/>
          <w:color w:val="000000" w:themeColor="text1"/>
        </w:rPr>
        <w:t>, Plaintiffs must adequately plead that the “essential purpose” for each of the asserted statutes “is to protect from the kind of harm [P]</w:t>
      </w:r>
      <w:proofErr w:type="spellStart"/>
      <w:r w:rsidRPr="007812EC">
        <w:rPr>
          <w:rFonts w:ascii="Verdana" w:hAnsi="Verdana"/>
          <w:color w:val="000000" w:themeColor="text1"/>
        </w:rPr>
        <w:t>laintiffs</w:t>
      </w:r>
      <w:proofErr w:type="spellEnd"/>
      <w:r w:rsidRPr="007812EC">
        <w:rPr>
          <w:rFonts w:ascii="Verdana" w:hAnsi="Verdana"/>
          <w:color w:val="000000" w:themeColor="text1"/>
        </w:rPr>
        <w:t xml:space="preserve"> have allegedly suffered and whether [P]</w:t>
      </w:r>
      <w:proofErr w:type="spellStart"/>
      <w:r w:rsidRPr="007812EC">
        <w:rPr>
          <w:rFonts w:ascii="Verdana" w:hAnsi="Verdana"/>
          <w:color w:val="000000" w:themeColor="text1"/>
        </w:rPr>
        <w:t>laintiffs</w:t>
      </w:r>
      <w:proofErr w:type="spellEnd"/>
      <w:r w:rsidRPr="007812EC">
        <w:rPr>
          <w:rFonts w:ascii="Verdana" w:hAnsi="Verdana"/>
          <w:color w:val="000000" w:themeColor="text1"/>
        </w:rPr>
        <w:t xml:space="preserve"> are members of the class meant to be protected by the statutes.” </w:t>
      </w:r>
      <w:r w:rsidRPr="007812EC">
        <w:rPr>
          <w:rFonts w:ascii="Verdana" w:hAnsi="Verdana"/>
          <w:i/>
          <w:color w:val="000000" w:themeColor="text1"/>
        </w:rPr>
        <w:t>Walgreens</w:t>
      </w:r>
      <w:r w:rsidRPr="007812EC">
        <w:rPr>
          <w:rFonts w:ascii="Verdana" w:hAnsi="Verdana"/>
          <w:color w:val="000000" w:themeColor="text1"/>
        </w:rPr>
        <w:t>, 470 F. Supp. 3d at 553.</w:t>
      </w:r>
    </w:p>
    <w:p w14:paraId="1E3BFB3C"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7E21FA1F" w14:textId="2861DC1C" w:rsidR="00281447" w:rsidRPr="007812EC" w:rsidRDefault="00000000">
      <w:pPr>
        <w:spacing w:after="0" w:line="275" w:lineRule="atLeast"/>
        <w:jc w:val="both"/>
        <w:rPr>
          <w:rFonts w:ascii="Verdana" w:hAnsi="Verdana"/>
          <w:color w:val="000000" w:themeColor="text1"/>
        </w:rPr>
      </w:pPr>
      <w:bookmarkStart w:id="37" w:name="co_anchor_B272054738524_1"/>
      <w:bookmarkStart w:id="38" w:name="co_anchor_B282054738524_1"/>
      <w:bookmarkEnd w:id="37"/>
      <w:bookmarkEnd w:id="38"/>
      <w:r w:rsidRPr="007812EC">
        <w:rPr>
          <w:rFonts w:ascii="Verdana" w:hAnsi="Verdana"/>
          <w:color w:val="000000" w:themeColor="text1"/>
        </w:rPr>
        <w:t xml:space="preserve">Initially, Plaintiffs cannot base negligence </w:t>
      </w:r>
      <w:r w:rsidRPr="007812EC">
        <w:rPr>
          <w:rFonts w:ascii="Verdana" w:hAnsi="Verdana"/>
          <w:i/>
          <w:color w:val="000000" w:themeColor="text1"/>
        </w:rPr>
        <w:t>per se</w:t>
      </w:r>
      <w:r w:rsidRPr="007812EC">
        <w:rPr>
          <w:rFonts w:ascii="Verdana" w:hAnsi="Verdana"/>
          <w:color w:val="000000" w:themeColor="text1"/>
        </w:rPr>
        <w:t xml:space="preserve"> claims on the HIPAA because it was “enacted for the protection of the public and not with the protection of an individual private right” in mind. </w:t>
      </w:r>
      <w:proofErr w:type="spellStart"/>
      <w:r w:rsidRPr="007812EC">
        <w:rPr>
          <w:rFonts w:ascii="Verdana" w:hAnsi="Verdana"/>
          <w:i/>
          <w:color w:val="000000" w:themeColor="text1"/>
        </w:rPr>
        <w:t>Winley</w:t>
      </w:r>
      <w:proofErr w:type="spellEnd"/>
      <w:r w:rsidRPr="007812EC">
        <w:rPr>
          <w:rFonts w:ascii="Verdana" w:hAnsi="Verdana"/>
          <w:color w:val="000000" w:themeColor="text1"/>
        </w:rPr>
        <w:t xml:space="preserve">, 2012 WL 13047989, at * 10 (citing </w:t>
      </w:r>
      <w:r w:rsidRPr="007812EC">
        <w:rPr>
          <w:rFonts w:ascii="Verdana" w:hAnsi="Verdana"/>
          <w:i/>
          <w:color w:val="000000" w:themeColor="text1"/>
        </w:rPr>
        <w:t>Doe v. Marion</w:t>
      </w:r>
      <w:r w:rsidRPr="007812EC">
        <w:rPr>
          <w:rFonts w:ascii="Verdana" w:hAnsi="Verdana"/>
          <w:color w:val="000000" w:themeColor="text1"/>
        </w:rPr>
        <w:t xml:space="preserve">, 645 S.E.2d at 248). The purpose of the HIPAA is “to improve portability and continuity of health insurance coverage in the group and individual markets, to combat waste, fraud, and abuse in health insurance and health care delivery, to promote the use of medical savings accounts, to improve access to long-term care services and coverage, to simplify the administration of health insurance, and for other purposes.” </w:t>
      </w:r>
      <w:r w:rsidRPr="007812EC">
        <w:rPr>
          <w:rFonts w:ascii="Verdana" w:hAnsi="Verdana"/>
          <w:i/>
          <w:color w:val="000000" w:themeColor="text1"/>
        </w:rPr>
        <w:t>Citizens Bank of Pennsylvania v. Reimbursement Technologies, Inc.</w:t>
      </w:r>
      <w:r w:rsidRPr="007812EC">
        <w:rPr>
          <w:rFonts w:ascii="Verdana" w:hAnsi="Verdana"/>
          <w:color w:val="000000" w:themeColor="text1"/>
        </w:rPr>
        <w:t xml:space="preserve">, 609 F. </w:t>
      </w:r>
      <w:proofErr w:type="spellStart"/>
      <w:r w:rsidRPr="007812EC">
        <w:rPr>
          <w:rFonts w:ascii="Verdana" w:hAnsi="Verdana"/>
          <w:color w:val="000000" w:themeColor="text1"/>
        </w:rPr>
        <w:t>App'x</w:t>
      </w:r>
      <w:proofErr w:type="spellEnd"/>
      <w:r w:rsidRPr="007812EC">
        <w:rPr>
          <w:rFonts w:ascii="Verdana" w:hAnsi="Verdana"/>
          <w:color w:val="000000" w:themeColor="text1"/>
        </w:rPr>
        <w:t xml:space="preserve"> 88, 93 (3rd Cir. 2015) (citing Pub. L. No. 104–191, 110 Stat. 1936); </w:t>
      </w:r>
      <w:r w:rsidRPr="007812EC">
        <w:rPr>
          <w:rFonts w:ascii="Verdana" w:hAnsi="Verdana"/>
          <w:i/>
          <w:color w:val="000000" w:themeColor="text1"/>
        </w:rPr>
        <w:t>see also</w:t>
      </w:r>
      <w:r w:rsidRPr="007812EC">
        <w:rPr>
          <w:rFonts w:ascii="Verdana" w:hAnsi="Verdana"/>
          <w:color w:val="000000" w:themeColor="text1"/>
        </w:rPr>
        <w:t xml:space="preserve"> </w:t>
      </w:r>
      <w:r w:rsidRPr="007812EC">
        <w:rPr>
          <w:rFonts w:ascii="Verdana" w:hAnsi="Verdana"/>
          <w:i/>
          <w:color w:val="000000" w:themeColor="text1"/>
        </w:rPr>
        <w:t xml:space="preserve">Ruder v. </w:t>
      </w:r>
      <w:proofErr w:type="spellStart"/>
      <w:r w:rsidRPr="007812EC">
        <w:rPr>
          <w:rFonts w:ascii="Verdana" w:hAnsi="Verdana"/>
          <w:i/>
          <w:color w:val="000000" w:themeColor="text1"/>
        </w:rPr>
        <w:t>Pequea</w:t>
      </w:r>
      <w:proofErr w:type="spellEnd"/>
      <w:r w:rsidRPr="007812EC">
        <w:rPr>
          <w:rFonts w:ascii="Verdana" w:hAnsi="Verdana"/>
          <w:i/>
          <w:color w:val="000000" w:themeColor="text1"/>
        </w:rPr>
        <w:t xml:space="preserve"> Valley Sch. Dist.</w:t>
      </w:r>
      <w:r w:rsidRPr="007812EC">
        <w:rPr>
          <w:rFonts w:ascii="Verdana" w:hAnsi="Verdana"/>
          <w:color w:val="000000" w:themeColor="text1"/>
        </w:rPr>
        <w:t xml:space="preserve">, 790 F. Supp. 2d 377, 403 (E.D. Penn. 2011) (“The Act makes clear that its purpose is to improve the operation of the health care system and reduce administrative costs.”). Thus, the HIPAA was not enacted for the protection of an individual or group and cannot serve as a basis for negligence </w:t>
      </w:r>
      <w:r w:rsidRPr="007812EC">
        <w:rPr>
          <w:rFonts w:ascii="Verdana" w:hAnsi="Verdana"/>
          <w:i/>
          <w:color w:val="000000" w:themeColor="text1"/>
        </w:rPr>
        <w:t>per se</w:t>
      </w:r>
      <w:r w:rsidRPr="007812EC">
        <w:rPr>
          <w:rFonts w:ascii="Verdana" w:hAnsi="Verdana"/>
          <w:color w:val="000000" w:themeColor="text1"/>
        </w:rPr>
        <w:t xml:space="preserve"> under South Carolina law.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Doe v. Marion</w:t>
      </w:r>
      <w:r w:rsidRPr="007812EC">
        <w:rPr>
          <w:rFonts w:ascii="Verdana" w:hAnsi="Verdana"/>
          <w:color w:val="000000" w:themeColor="text1"/>
        </w:rPr>
        <w:t xml:space="preserve">, 645 S.E.2d at 248 (“When a statute does not </w:t>
      </w:r>
      <w:r w:rsidRPr="007812EC">
        <w:rPr>
          <w:rFonts w:ascii="Verdana" w:hAnsi="Verdana"/>
          <w:color w:val="000000" w:themeColor="text1"/>
        </w:rPr>
        <w:lastRenderedPageBreak/>
        <w:t>specifically create a private cause of action, one can be implied only if the legislation was enacted for the special benefit of a private party.”) (</w:t>
      </w:r>
      <w:proofErr w:type="gramStart"/>
      <w:r w:rsidRPr="007812EC">
        <w:rPr>
          <w:rFonts w:ascii="Verdana" w:hAnsi="Verdana"/>
          <w:color w:val="000000" w:themeColor="text1"/>
        </w:rPr>
        <w:t>citing</w:t>
      </w:r>
      <w:proofErr w:type="gramEnd"/>
      <w:r w:rsidRPr="007812EC">
        <w:rPr>
          <w:rFonts w:ascii="Verdana" w:hAnsi="Verdana"/>
          <w:color w:val="000000" w:themeColor="text1"/>
        </w:rPr>
        <w:t xml:space="preserve"> </w:t>
      </w:r>
      <w:r w:rsidRPr="007812EC">
        <w:rPr>
          <w:rFonts w:ascii="Verdana" w:hAnsi="Verdana"/>
          <w:i/>
          <w:color w:val="000000" w:themeColor="text1"/>
        </w:rPr>
        <w:t xml:space="preserve">Citizens of Lee </w:t>
      </w:r>
      <w:proofErr w:type="spellStart"/>
      <w:r w:rsidRPr="007812EC">
        <w:rPr>
          <w:rFonts w:ascii="Verdana" w:hAnsi="Verdana"/>
          <w:i/>
          <w:color w:val="000000" w:themeColor="text1"/>
        </w:rPr>
        <w:t>Cnty</w:t>
      </w:r>
      <w:proofErr w:type="spellEnd"/>
      <w:r w:rsidRPr="007812EC">
        <w:rPr>
          <w:rFonts w:ascii="Verdana" w:hAnsi="Verdana"/>
          <w:i/>
          <w:color w:val="000000" w:themeColor="text1"/>
        </w:rPr>
        <w:t xml:space="preserve">. v. Lee </w:t>
      </w:r>
      <w:proofErr w:type="spellStart"/>
      <w:r w:rsidRPr="007812EC">
        <w:rPr>
          <w:rFonts w:ascii="Verdana" w:hAnsi="Verdana"/>
          <w:i/>
          <w:color w:val="000000" w:themeColor="text1"/>
        </w:rPr>
        <w:t>Cnty</w:t>
      </w:r>
      <w:proofErr w:type="spellEnd"/>
      <w:r w:rsidRPr="007812EC">
        <w:rPr>
          <w:rFonts w:ascii="Verdana" w:hAnsi="Verdana"/>
          <w:i/>
          <w:color w:val="000000" w:themeColor="text1"/>
        </w:rPr>
        <w:t>.</w:t>
      </w:r>
      <w:r w:rsidRPr="007812EC">
        <w:rPr>
          <w:rFonts w:ascii="Verdana" w:hAnsi="Verdana"/>
          <w:color w:val="000000" w:themeColor="text1"/>
        </w:rPr>
        <w:t xml:space="preserve">, 308 S.C. 23, 416 S.E.2d 641 (1992)). Accordingly, Plaintiffs’ negligence </w:t>
      </w:r>
      <w:r w:rsidRPr="007812EC">
        <w:rPr>
          <w:rFonts w:ascii="Verdana" w:hAnsi="Verdana"/>
          <w:i/>
          <w:color w:val="000000" w:themeColor="text1"/>
        </w:rPr>
        <w:t>per se</w:t>
      </w:r>
      <w:r w:rsidRPr="007812EC">
        <w:rPr>
          <w:rFonts w:ascii="Verdana" w:hAnsi="Verdana"/>
          <w:color w:val="000000" w:themeColor="text1"/>
        </w:rPr>
        <w:t xml:space="preserve"> claims fail to the extent they are premised on violation of the HIPAA.</w:t>
      </w:r>
    </w:p>
    <w:p w14:paraId="7885627B"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0200631" w14:textId="2C4AA3CC" w:rsidR="00281447" w:rsidRPr="007812EC" w:rsidRDefault="00000000">
      <w:pPr>
        <w:spacing w:after="0" w:line="275" w:lineRule="atLeast"/>
        <w:jc w:val="both"/>
        <w:rPr>
          <w:rFonts w:ascii="Verdana" w:hAnsi="Verdana"/>
          <w:color w:val="000000" w:themeColor="text1"/>
        </w:rPr>
      </w:pPr>
      <w:bookmarkStart w:id="39" w:name="co_anchor_B292054738524_1"/>
      <w:bookmarkEnd w:id="39"/>
      <w:r w:rsidRPr="007812EC">
        <w:rPr>
          <w:rFonts w:ascii="Verdana" w:hAnsi="Verdana"/>
          <w:color w:val="000000" w:themeColor="text1"/>
        </w:rPr>
        <w:t xml:space="preserve">Turning to the FTC Act as a potential basis for negligence </w:t>
      </w:r>
      <w:r w:rsidRPr="007812EC">
        <w:rPr>
          <w:rFonts w:ascii="Verdana" w:hAnsi="Verdana"/>
          <w:i/>
          <w:color w:val="000000" w:themeColor="text1"/>
        </w:rPr>
        <w:t>per se</w:t>
      </w:r>
      <w:r w:rsidRPr="007812EC">
        <w:rPr>
          <w:rFonts w:ascii="Verdana" w:hAnsi="Verdana"/>
          <w:color w:val="000000" w:themeColor="text1"/>
        </w:rPr>
        <w:t xml:space="preserve">, the court notes that courts outside of South Carolina appear to be split on whether the FTC Act can serve as the basis for a negligence </w:t>
      </w:r>
      <w:r w:rsidRPr="007812EC">
        <w:rPr>
          <w:rFonts w:ascii="Verdana" w:hAnsi="Verdana"/>
          <w:i/>
          <w:color w:val="000000" w:themeColor="text1"/>
        </w:rPr>
        <w:t>per se</w:t>
      </w:r>
      <w:r w:rsidRPr="007812EC">
        <w:rPr>
          <w:rFonts w:ascii="Verdana" w:hAnsi="Verdana"/>
          <w:color w:val="000000" w:themeColor="text1"/>
        </w:rPr>
        <w:t xml:space="preserve"> claim in the data breach context. Some courts have allowed these claims to go forward at the motion to dismiss stage. </w:t>
      </w:r>
      <w:r w:rsidRPr="007812EC">
        <w:rPr>
          <w:rFonts w:ascii="Verdana" w:hAnsi="Verdana"/>
          <w:i/>
          <w:color w:val="000000" w:themeColor="text1"/>
        </w:rPr>
        <w:t>See, e.g.</w:t>
      </w:r>
      <w:r w:rsidRPr="007812EC">
        <w:rPr>
          <w:rFonts w:ascii="Verdana" w:hAnsi="Verdana"/>
          <w:color w:val="000000" w:themeColor="text1"/>
        </w:rPr>
        <w:t xml:space="preserve">, </w:t>
      </w:r>
      <w:r w:rsidRPr="007812EC">
        <w:rPr>
          <w:rFonts w:ascii="Verdana" w:hAnsi="Verdana"/>
          <w:i/>
          <w:color w:val="000000" w:themeColor="text1"/>
        </w:rPr>
        <w:t>In re Marriott Int'l, Inc., Customer Data Sec. Breach Litig.</w:t>
      </w:r>
      <w:r w:rsidRPr="007812EC">
        <w:rPr>
          <w:rFonts w:ascii="Verdana" w:hAnsi="Verdana"/>
          <w:color w:val="000000" w:themeColor="text1"/>
        </w:rPr>
        <w:t xml:space="preserve">, 440 F. Supp. 3d 447, 481–82 (D. Md. 2020) (holding that plaintiffs adequately pled negligence </w:t>
      </w:r>
      <w:r w:rsidRPr="007812EC">
        <w:rPr>
          <w:rFonts w:ascii="Verdana" w:hAnsi="Verdana"/>
          <w:i/>
          <w:color w:val="000000" w:themeColor="text1"/>
        </w:rPr>
        <w:t>per se</w:t>
      </w:r>
      <w:r w:rsidRPr="007812EC">
        <w:rPr>
          <w:rFonts w:ascii="Verdana" w:hAnsi="Verdana"/>
          <w:color w:val="000000" w:themeColor="text1"/>
        </w:rPr>
        <w:t xml:space="preserve"> under Georgia law); </w:t>
      </w:r>
      <w:r w:rsidRPr="007812EC">
        <w:rPr>
          <w:rFonts w:ascii="Verdana" w:hAnsi="Verdana"/>
          <w:i/>
          <w:color w:val="000000" w:themeColor="text1"/>
        </w:rPr>
        <w:t>In re Cap. One Consumer Data Sec. Breach Litig.</w:t>
      </w:r>
      <w:r w:rsidRPr="007812EC">
        <w:rPr>
          <w:rFonts w:ascii="Verdana" w:hAnsi="Verdana"/>
          <w:color w:val="000000" w:themeColor="text1"/>
        </w:rPr>
        <w:t xml:space="preserve">, 488 F. Supp. 3d at 406–08 (holding that a negligence </w:t>
      </w:r>
      <w:r w:rsidRPr="007812EC">
        <w:rPr>
          <w:rFonts w:ascii="Verdana" w:hAnsi="Verdana"/>
          <w:i/>
          <w:color w:val="000000" w:themeColor="text1"/>
        </w:rPr>
        <w:t>per se</w:t>
      </w:r>
      <w:r w:rsidRPr="007812EC">
        <w:rPr>
          <w:rFonts w:ascii="Verdana" w:hAnsi="Verdana"/>
          <w:color w:val="000000" w:themeColor="text1"/>
        </w:rPr>
        <w:t xml:space="preserve"> claim could be premised on the FTC Act under New York law). Other courts have specifically held that the FTC Act cannot serve as a basis for such claims. </w:t>
      </w:r>
      <w:r w:rsidRPr="007812EC">
        <w:rPr>
          <w:rFonts w:ascii="Verdana" w:hAnsi="Verdana"/>
          <w:i/>
          <w:color w:val="000000" w:themeColor="text1"/>
        </w:rPr>
        <w:t>See, e.g.</w:t>
      </w:r>
      <w:r w:rsidRPr="007812EC">
        <w:rPr>
          <w:rFonts w:ascii="Verdana" w:hAnsi="Verdana"/>
          <w:color w:val="000000" w:themeColor="text1"/>
        </w:rPr>
        <w:t xml:space="preserve">, </w:t>
      </w:r>
      <w:r w:rsidRPr="007812EC">
        <w:rPr>
          <w:rFonts w:ascii="Verdana" w:hAnsi="Verdana"/>
          <w:i/>
          <w:color w:val="000000" w:themeColor="text1"/>
        </w:rPr>
        <w:t>In re Brinker Data Incident Litig.</w:t>
      </w:r>
      <w:r w:rsidRPr="007812EC">
        <w:rPr>
          <w:rFonts w:ascii="Verdana" w:hAnsi="Verdana"/>
          <w:color w:val="000000" w:themeColor="text1"/>
        </w:rPr>
        <w:t xml:space="preserve">, No. 3:18-cv-686-J-32MCR, 2020 WL 691848, at *9 (M.D. Fl. Jan. 27, 2020) (holding that the FTC Act cannot be the basis of negligence </w:t>
      </w:r>
      <w:r w:rsidRPr="007812EC">
        <w:rPr>
          <w:rFonts w:ascii="Verdana" w:hAnsi="Verdana"/>
          <w:i/>
          <w:color w:val="000000" w:themeColor="text1"/>
        </w:rPr>
        <w:t>per se</w:t>
      </w:r>
      <w:r w:rsidRPr="007812EC">
        <w:rPr>
          <w:rFonts w:ascii="Verdana" w:hAnsi="Verdana"/>
          <w:color w:val="000000" w:themeColor="text1"/>
        </w:rPr>
        <w:t xml:space="preserve"> under Florida law, which disallows negligence </w:t>
      </w:r>
      <w:r w:rsidRPr="007812EC">
        <w:rPr>
          <w:rFonts w:ascii="Verdana" w:hAnsi="Verdana"/>
          <w:i/>
          <w:color w:val="000000" w:themeColor="text1"/>
        </w:rPr>
        <w:t>per se</w:t>
      </w:r>
      <w:r w:rsidRPr="007812EC">
        <w:rPr>
          <w:rFonts w:ascii="Verdana" w:hAnsi="Verdana"/>
          <w:color w:val="000000" w:themeColor="text1"/>
        </w:rPr>
        <w:t xml:space="preserve"> claims that rely on a federal statute without a private right of action); </w:t>
      </w:r>
      <w:r w:rsidRPr="007812EC">
        <w:rPr>
          <w:rFonts w:ascii="Verdana" w:hAnsi="Verdana"/>
          <w:i/>
          <w:color w:val="000000" w:themeColor="text1"/>
        </w:rPr>
        <w:t>In re Sonic Corp. Customer Data Sec. Breach Litig. (Fin. Institutions)</w:t>
      </w:r>
      <w:r w:rsidRPr="007812EC">
        <w:rPr>
          <w:rFonts w:ascii="Verdana" w:hAnsi="Verdana"/>
          <w:color w:val="000000" w:themeColor="text1"/>
        </w:rPr>
        <w:t xml:space="preserve">, No. 17-MD-2807, 2020 WL 3577341, at *6 (N.D. Ohio July 1, 2020) (“While the FTC and other courts have interpreted [the FTC Act's] terms to apply to data security requirements, the statute's actual terms do not lay out positive, objective standards that, if violated, could give the standard for a negligence </w:t>
      </w:r>
      <w:r w:rsidRPr="007812EC">
        <w:rPr>
          <w:rFonts w:ascii="Verdana" w:hAnsi="Verdana"/>
          <w:i/>
          <w:color w:val="000000" w:themeColor="text1"/>
        </w:rPr>
        <w:t>per se</w:t>
      </w:r>
      <w:r w:rsidRPr="007812EC">
        <w:rPr>
          <w:rFonts w:ascii="Verdana" w:hAnsi="Verdana"/>
          <w:color w:val="000000" w:themeColor="text1"/>
        </w:rPr>
        <w:t xml:space="preserve"> claim under Oklahoma law.”).</w:t>
      </w:r>
    </w:p>
    <w:p w14:paraId="579A42DE"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540419E9" w14:textId="59EFC01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The variations in these holdings appear to stem from differences in the standards for negligence </w:t>
      </w:r>
      <w:r w:rsidRPr="007812EC">
        <w:rPr>
          <w:rFonts w:ascii="Verdana" w:hAnsi="Verdana"/>
          <w:i/>
          <w:color w:val="000000" w:themeColor="text1"/>
        </w:rPr>
        <w:t>per se</w:t>
      </w:r>
      <w:r w:rsidRPr="007812EC">
        <w:rPr>
          <w:rFonts w:ascii="Verdana" w:hAnsi="Verdana"/>
          <w:color w:val="000000" w:themeColor="text1"/>
        </w:rPr>
        <w:t xml:space="preserve"> claims under the laws of different states. Under South Carolina's standard, the answer turns on the purpose of the statute. </w:t>
      </w:r>
      <w:r w:rsidRPr="007812EC">
        <w:rPr>
          <w:rFonts w:ascii="Verdana" w:hAnsi="Verdana"/>
          <w:i/>
          <w:color w:val="000000" w:themeColor="text1"/>
        </w:rPr>
        <w:t>See</w:t>
      </w:r>
      <w:r w:rsidRPr="007812EC">
        <w:rPr>
          <w:rFonts w:ascii="Verdana" w:hAnsi="Verdana"/>
          <w:color w:val="000000" w:themeColor="text1"/>
        </w:rPr>
        <w:t xml:space="preserve"> </w:t>
      </w:r>
      <w:r w:rsidRPr="007812EC">
        <w:rPr>
          <w:rFonts w:ascii="Verdana" w:hAnsi="Verdana"/>
          <w:i/>
          <w:color w:val="000000" w:themeColor="text1"/>
        </w:rPr>
        <w:t>Doe v. Marion</w:t>
      </w:r>
      <w:r w:rsidRPr="007812EC">
        <w:rPr>
          <w:rFonts w:ascii="Verdana" w:hAnsi="Verdana"/>
          <w:color w:val="000000" w:themeColor="text1"/>
        </w:rPr>
        <w:t xml:space="preserve">, 645 S.E.2d at 248. To base their negligence </w:t>
      </w:r>
      <w:r w:rsidRPr="007812EC">
        <w:rPr>
          <w:rFonts w:ascii="Verdana" w:hAnsi="Verdana"/>
          <w:i/>
          <w:color w:val="000000" w:themeColor="text1"/>
        </w:rPr>
        <w:t>per se</w:t>
      </w:r>
      <w:r w:rsidRPr="007812EC">
        <w:rPr>
          <w:rFonts w:ascii="Verdana" w:hAnsi="Verdana"/>
          <w:color w:val="000000" w:themeColor="text1"/>
        </w:rPr>
        <w:t xml:space="preserve"> claims on the FTC Act, Plaintiffs must show that the statute was designed to protect a particular individual or group of people and that they are members of that group. Plaintiffs have not done so.</w:t>
      </w:r>
      <w:bookmarkStart w:id="40" w:name="co_fnRef_B00132054738524_ID0ETXDI_1"/>
      <w:r w:rsidRPr="007812EC">
        <w:rPr>
          <w:rFonts w:ascii="Verdana" w:hAnsi="Verdana"/>
          <w:color w:val="000000" w:themeColor="text1"/>
          <w:vertAlign w:val="superscript"/>
        </w:rPr>
        <w:t>13</w:t>
      </w:r>
      <w:bookmarkEnd w:id="40"/>
      <w:r w:rsidRPr="007812EC">
        <w:rPr>
          <w:rFonts w:ascii="Verdana" w:hAnsi="Verdana"/>
          <w:color w:val="000000" w:themeColor="text1"/>
        </w:rPr>
        <w:t xml:space="preserve"> Although Plaintiffs broadly allege in the CCAC</w:t>
      </w:r>
      <w:bookmarkStart w:id="41" w:name="co_fnRef_B00142054738524_ID0E4XDI_1"/>
      <w:r w:rsidRPr="007812EC">
        <w:rPr>
          <w:rFonts w:ascii="Verdana" w:hAnsi="Verdana"/>
          <w:color w:val="000000" w:themeColor="text1"/>
          <w:vertAlign w:val="superscript"/>
        </w:rPr>
        <w:t>14</w:t>
      </w:r>
      <w:bookmarkEnd w:id="41"/>
      <w:r w:rsidRPr="007812EC">
        <w:rPr>
          <w:rFonts w:ascii="Verdana" w:hAnsi="Verdana"/>
          <w:color w:val="000000" w:themeColor="text1"/>
        </w:rPr>
        <w:t xml:space="preserve"> that they are members of the class the FTC Act was designed to protect, they do not actually define or otherwise explain the parameters of such a group. Accordingly, Plaintiffs have not sufficiently alleged a cause of action for negligence </w:t>
      </w:r>
      <w:r w:rsidRPr="007812EC">
        <w:rPr>
          <w:rFonts w:ascii="Verdana" w:hAnsi="Verdana"/>
          <w:i/>
          <w:color w:val="000000" w:themeColor="text1"/>
        </w:rPr>
        <w:t>per se</w:t>
      </w:r>
      <w:r w:rsidRPr="007812EC">
        <w:rPr>
          <w:rFonts w:ascii="Verdana" w:hAnsi="Verdana"/>
          <w:color w:val="000000" w:themeColor="text1"/>
        </w:rPr>
        <w:t xml:space="preserve"> under South Carolina law based on the FTC Act.</w:t>
      </w:r>
    </w:p>
    <w:p w14:paraId="3C62E2A0"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89CEBF1" w14:textId="5660387C" w:rsidR="00281447" w:rsidRPr="007812EC" w:rsidRDefault="00000000">
      <w:pPr>
        <w:spacing w:after="0" w:line="275" w:lineRule="atLeast"/>
        <w:jc w:val="both"/>
        <w:rPr>
          <w:rFonts w:ascii="Verdana" w:hAnsi="Verdana"/>
          <w:color w:val="000000" w:themeColor="text1"/>
        </w:rPr>
      </w:pPr>
      <w:bookmarkStart w:id="42" w:name="co_anchor_B302054738524_1"/>
      <w:bookmarkEnd w:id="42"/>
      <w:r w:rsidRPr="007812EC">
        <w:rPr>
          <w:rFonts w:ascii="Verdana" w:hAnsi="Verdana"/>
          <w:color w:val="000000" w:themeColor="text1"/>
        </w:rPr>
        <w:t xml:space="preserve">Next, Plaintiffs assert the COPPA as a basis for their negligence </w:t>
      </w:r>
      <w:r w:rsidRPr="007812EC">
        <w:rPr>
          <w:rFonts w:ascii="Verdana" w:hAnsi="Verdana"/>
          <w:i/>
          <w:color w:val="000000" w:themeColor="text1"/>
        </w:rPr>
        <w:t>per se</w:t>
      </w:r>
      <w:r w:rsidRPr="007812EC">
        <w:rPr>
          <w:rFonts w:ascii="Verdana" w:hAnsi="Verdana"/>
          <w:color w:val="000000" w:themeColor="text1"/>
        </w:rPr>
        <w:t xml:space="preserve"> claims. The COPPA requires operators of commercial websites or online services directed to children under the age of thirteen (13) or any operator that has actual knowledge that it is collecting personal information from a child, “to establish and maintain reasonable procedures to protect the confidentiality, security and integrity of personal information collected from children.” </w:t>
      </w:r>
      <w:r w:rsidRPr="007812EC">
        <w:rPr>
          <w:rFonts w:ascii="Verdana" w:hAnsi="Verdana"/>
          <w:i/>
          <w:color w:val="000000" w:themeColor="text1"/>
        </w:rPr>
        <w:t>See</w:t>
      </w:r>
      <w:r w:rsidRPr="007812EC">
        <w:rPr>
          <w:rFonts w:ascii="Verdana" w:hAnsi="Verdana"/>
          <w:color w:val="000000" w:themeColor="text1"/>
        </w:rPr>
        <w:t xml:space="preserve"> 15 U.S.C. §§ 6501 &amp; 6502. The term “collection” means “the gathering of any personal information from a child” by any means, including:</w:t>
      </w:r>
    </w:p>
    <w:p w14:paraId="771451E4" w14:textId="77777777" w:rsidR="00281447" w:rsidRPr="007812EC" w:rsidRDefault="00000000">
      <w:pPr>
        <w:spacing w:before="200" w:after="0" w:line="275" w:lineRule="atLeast"/>
        <w:ind w:left="200"/>
        <w:jc w:val="both"/>
        <w:rPr>
          <w:rFonts w:ascii="Verdana" w:hAnsi="Verdana"/>
          <w:color w:val="000000" w:themeColor="text1"/>
        </w:rPr>
      </w:pPr>
      <w:r w:rsidRPr="007812EC">
        <w:rPr>
          <w:rFonts w:ascii="Verdana" w:hAnsi="Verdana"/>
          <w:color w:val="000000" w:themeColor="text1"/>
        </w:rPr>
        <w:t>(1) Requesting, prompting, or encouraging a child to submit personal information online;</w:t>
      </w:r>
    </w:p>
    <w:p w14:paraId="619693C2" w14:textId="77777777" w:rsidR="00281447" w:rsidRPr="007812EC" w:rsidRDefault="00000000">
      <w:pPr>
        <w:spacing w:before="200" w:after="0" w:line="275" w:lineRule="atLeast"/>
        <w:ind w:left="200"/>
        <w:jc w:val="both"/>
        <w:rPr>
          <w:rFonts w:ascii="Verdana" w:hAnsi="Verdana"/>
          <w:color w:val="000000" w:themeColor="text1"/>
        </w:rPr>
      </w:pPr>
      <w:r w:rsidRPr="007812EC">
        <w:rPr>
          <w:rFonts w:ascii="Verdana" w:hAnsi="Verdana"/>
          <w:color w:val="000000" w:themeColor="text1"/>
        </w:rPr>
        <w:t xml:space="preserve">(2) Enabling a child to make personal information publicly available in identifiable form. An operator shall not be considered to have collected personal information under this </w:t>
      </w:r>
      <w:r w:rsidRPr="007812EC">
        <w:rPr>
          <w:rFonts w:ascii="Verdana" w:hAnsi="Verdana"/>
          <w:color w:val="000000" w:themeColor="text1"/>
        </w:rPr>
        <w:lastRenderedPageBreak/>
        <w:t xml:space="preserve">paragraph if it takes reasonable measures to delete all or virtually all personal information from a child's postings before they are made public </w:t>
      </w:r>
      <w:proofErr w:type="gramStart"/>
      <w:r w:rsidRPr="007812EC">
        <w:rPr>
          <w:rFonts w:ascii="Verdana" w:hAnsi="Verdana"/>
          <w:color w:val="000000" w:themeColor="text1"/>
        </w:rPr>
        <w:t>and also</w:t>
      </w:r>
      <w:proofErr w:type="gramEnd"/>
      <w:r w:rsidRPr="007812EC">
        <w:rPr>
          <w:rFonts w:ascii="Verdana" w:hAnsi="Verdana"/>
          <w:color w:val="000000" w:themeColor="text1"/>
        </w:rPr>
        <w:t xml:space="preserve"> to delete such information from its records; or</w:t>
      </w:r>
    </w:p>
    <w:p w14:paraId="68AF6419" w14:textId="77777777" w:rsidR="00281447" w:rsidRPr="007812EC" w:rsidRDefault="00000000">
      <w:pPr>
        <w:spacing w:before="200" w:after="0" w:line="275" w:lineRule="atLeast"/>
        <w:ind w:left="200"/>
        <w:jc w:val="both"/>
        <w:rPr>
          <w:rFonts w:ascii="Verdana" w:hAnsi="Verdana"/>
          <w:color w:val="000000" w:themeColor="text1"/>
        </w:rPr>
      </w:pPr>
      <w:r w:rsidRPr="007812EC">
        <w:rPr>
          <w:rFonts w:ascii="Verdana" w:hAnsi="Verdana"/>
          <w:color w:val="000000" w:themeColor="text1"/>
        </w:rPr>
        <w:t>(3) Passive tracking of a child online.</w:t>
      </w:r>
    </w:p>
    <w:p w14:paraId="2B9FFF21" w14:textId="336334E3" w:rsidR="00281447" w:rsidRPr="007812EC" w:rsidRDefault="00000000">
      <w:pPr>
        <w:spacing w:before="200" w:after="0" w:line="275" w:lineRule="atLeast"/>
        <w:jc w:val="both"/>
        <w:rPr>
          <w:rFonts w:ascii="Verdana" w:hAnsi="Verdana"/>
          <w:color w:val="000000" w:themeColor="text1"/>
        </w:rPr>
      </w:pPr>
      <w:r w:rsidRPr="007812EC">
        <w:rPr>
          <w:rFonts w:ascii="Verdana" w:hAnsi="Verdana"/>
          <w:color w:val="000000" w:themeColor="text1"/>
        </w:rPr>
        <w:t xml:space="preserve">16 C.F.R. § 312.2. Even if the court were to find the COPPA was an appropriate basis for a negligence </w:t>
      </w:r>
      <w:r w:rsidRPr="007812EC">
        <w:rPr>
          <w:rFonts w:ascii="Verdana" w:hAnsi="Verdana"/>
          <w:i/>
          <w:color w:val="000000" w:themeColor="text1"/>
        </w:rPr>
        <w:t>per se</w:t>
      </w:r>
      <w:r w:rsidRPr="007812EC">
        <w:rPr>
          <w:rFonts w:ascii="Verdana" w:hAnsi="Verdana"/>
          <w:color w:val="000000" w:themeColor="text1"/>
        </w:rPr>
        <w:t xml:space="preserve"> claim, Plaintiffs have not adequately alleged they are within the class the statute seeks to protect. The only Named Plaintiff with claims regarding minor children is Plaintiff Coty Martin. (</w:t>
      </w:r>
      <w:r w:rsidRPr="007812EC">
        <w:rPr>
          <w:rFonts w:ascii="Verdana" w:hAnsi="Verdana"/>
          <w:i/>
          <w:color w:val="000000" w:themeColor="text1"/>
        </w:rPr>
        <w:t>See</w:t>
      </w:r>
      <w:r w:rsidRPr="007812EC">
        <w:rPr>
          <w:rFonts w:ascii="Verdana" w:hAnsi="Verdana"/>
          <w:color w:val="000000" w:themeColor="text1"/>
        </w:rPr>
        <w:t xml:space="preserve"> ECF No. 77 at 78–79 ¶¶ 283–84.) Plaintiff Martin, however, does not allege that Blackbaud operated a commercial website or online service directed to children under the age of thirteen (13) or that Blackbaud collected information from his minor child as defined by 16 C.F.R. § 312.2. Accordingly, Plaintiffs have not sufficiently alleged a cause of action for negligence </w:t>
      </w:r>
      <w:r w:rsidRPr="007812EC">
        <w:rPr>
          <w:rFonts w:ascii="Verdana" w:hAnsi="Verdana"/>
          <w:i/>
          <w:color w:val="000000" w:themeColor="text1"/>
        </w:rPr>
        <w:t>per se</w:t>
      </w:r>
      <w:r w:rsidRPr="007812EC">
        <w:rPr>
          <w:rFonts w:ascii="Verdana" w:hAnsi="Verdana"/>
          <w:color w:val="000000" w:themeColor="text1"/>
        </w:rPr>
        <w:t xml:space="preserve"> under South Carolina law based on a violation of the COPPA.</w:t>
      </w:r>
    </w:p>
    <w:p w14:paraId="340B6BFB"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p w14:paraId="353A519A" w14:textId="3A10A9B0"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xml:space="preserve">As a result of the foregoing, Plaintiffs’ negligence </w:t>
      </w:r>
      <w:r w:rsidRPr="007812EC">
        <w:rPr>
          <w:rFonts w:ascii="Verdana" w:hAnsi="Verdana"/>
          <w:i/>
          <w:color w:val="000000" w:themeColor="text1"/>
        </w:rPr>
        <w:t>per se</w:t>
      </w:r>
      <w:r w:rsidRPr="007812EC">
        <w:rPr>
          <w:rFonts w:ascii="Verdana" w:hAnsi="Verdana"/>
          <w:color w:val="000000" w:themeColor="text1"/>
        </w:rPr>
        <w:t xml:space="preserve"> claims premised on the HIPAA, the FTC Act, and the COPPA are dismissed.</w:t>
      </w:r>
    </w:p>
    <w:p w14:paraId="19595D7C" w14:textId="77777777" w:rsidR="00281447" w:rsidRPr="007812EC" w:rsidRDefault="00000000">
      <w:pPr>
        <w:spacing w:after="0" w:line="275" w:lineRule="atLeast"/>
        <w:jc w:val="both"/>
        <w:rPr>
          <w:rFonts w:ascii="Verdana" w:hAnsi="Verdana"/>
          <w:color w:val="000000" w:themeColor="text1"/>
        </w:rPr>
      </w:pPr>
      <w:r w:rsidRPr="007812EC">
        <w:rPr>
          <w:rFonts w:ascii="Verdana" w:hAnsi="Verdana"/>
          <w:color w:val="000000" w:themeColor="text1"/>
        </w:rPr>
        <w:t> </w:t>
      </w:r>
    </w:p>
    <w:sectPr w:rsidR="00281447" w:rsidRPr="007812EC">
      <w:headerReference w:type="even" r:id="rId6"/>
      <w:headerReference w:type="default" r:id="rId7"/>
      <w:footerReference w:type="even" r:id="rId8"/>
      <w:footerReference w:type="default" r:id="rId9"/>
      <w:pgSz w:w="12240" w:h="15840"/>
      <w:pgMar w:top="180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DD99" w14:textId="77777777" w:rsidR="00E719EE" w:rsidRDefault="00E719EE">
      <w:pPr>
        <w:spacing w:after="0" w:line="240" w:lineRule="auto"/>
      </w:pPr>
      <w:r>
        <w:separator/>
      </w:r>
    </w:p>
  </w:endnote>
  <w:endnote w:type="continuationSeparator" w:id="0">
    <w:p w14:paraId="3F275CCE" w14:textId="77777777" w:rsidR="00E719EE" w:rsidRDefault="00E7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12" w14:textId="77777777" w:rsidR="00EF0E3A"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977C" w14:textId="77777777" w:rsidR="00EF0E3A"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BBDF" w14:textId="77777777" w:rsidR="00E719EE" w:rsidRDefault="00E719EE">
      <w:pPr>
        <w:spacing w:after="0" w:line="240" w:lineRule="auto"/>
      </w:pPr>
      <w:r>
        <w:separator/>
      </w:r>
    </w:p>
  </w:footnote>
  <w:footnote w:type="continuationSeparator" w:id="0">
    <w:p w14:paraId="62E98389" w14:textId="77777777" w:rsidR="00E719EE" w:rsidRDefault="00E7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8559" w14:textId="77777777" w:rsidR="00281447"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749B" w14:textId="77777777" w:rsidR="00281447"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47"/>
    <w:rsid w:val="000F2896"/>
    <w:rsid w:val="00281447"/>
    <w:rsid w:val="002F53BC"/>
    <w:rsid w:val="004221C3"/>
    <w:rsid w:val="00432EA2"/>
    <w:rsid w:val="00477C76"/>
    <w:rsid w:val="004F0388"/>
    <w:rsid w:val="00670340"/>
    <w:rsid w:val="007812EC"/>
    <w:rsid w:val="009E040E"/>
    <w:rsid w:val="00CC1B81"/>
    <w:rsid w:val="00E719EE"/>
    <w:rsid w:val="00EE6AAA"/>
    <w:rsid w:val="00EF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63C9"/>
  <w15:docId w15:val="{39A4BEC6-1474-4A59-A356-B44B9C21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96"/>
  </w:style>
  <w:style w:type="paragraph" w:styleId="Footer">
    <w:name w:val="footer"/>
    <w:basedOn w:val="Normal"/>
    <w:link w:val="FooterChar"/>
    <w:uiPriority w:val="99"/>
    <w:unhideWhenUsed/>
    <w:rsid w:val="000F2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 richardwarner</dc:creator>
  <cp:lastModifiedBy>Richard Warner</cp:lastModifiedBy>
  <cp:revision>6</cp:revision>
  <dcterms:created xsi:type="dcterms:W3CDTF">2022-12-16T23:21:00Z</dcterms:created>
  <dcterms:modified xsi:type="dcterms:W3CDTF">2023-01-15T20:59:00Z</dcterms:modified>
</cp:coreProperties>
</file>